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4078F" w14:textId="77777777" w:rsidR="00450244" w:rsidRDefault="00520C18">
      <w:pPr>
        <w:pStyle w:val="Pagedecouverture"/>
        <w:rPr>
          <w:noProof/>
        </w:rPr>
      </w:pPr>
      <w:bookmarkStart w:id="0" w:name="LW_BM_COVERPAGE"/>
      <w:r>
        <w:rPr>
          <w:noProof/>
        </w:rPr>
        <w:drawing>
          <wp:inline distT="0" distB="0" distL="0" distR="0" wp14:anchorId="2C7CAB15" wp14:editId="45BC07EA">
            <wp:extent cx="5725795" cy="4241165"/>
            <wp:effectExtent l="0" t="0" r="0" b="0"/>
            <wp:docPr id="1" name="Imagen 1" descr="DA7F3536-1B09-4209-95D9-0CEBA17C16A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7F3536-1B09-4209-95D9-0CEBA17C16A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4241165"/>
                    </a:xfrm>
                    <a:prstGeom prst="rect">
                      <a:avLst/>
                    </a:prstGeom>
                    <a:noFill/>
                    <a:ln>
                      <a:noFill/>
                    </a:ln>
                  </pic:spPr>
                </pic:pic>
              </a:graphicData>
            </a:graphic>
          </wp:inline>
        </w:drawing>
      </w:r>
    </w:p>
    <w:bookmarkEnd w:id="0"/>
    <w:p w14:paraId="1D92BEC9" w14:textId="77777777" w:rsidR="00450244" w:rsidRDefault="00450244">
      <w:pPr>
        <w:spacing w:line="240" w:lineRule="auto"/>
        <w:rPr>
          <w:noProof/>
          <w:lang w:val="en-GB"/>
        </w:rPr>
        <w:sectPr w:rsidR="00450244">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21ADE396" w14:textId="77777777" w:rsidR="00450244" w:rsidRDefault="00EB0B0F">
      <w:pPr>
        <w:tabs>
          <w:tab w:val="center" w:pos="4680"/>
          <w:tab w:val="left" w:pos="7010"/>
        </w:tabs>
        <w:spacing w:before="240" w:after="480" w:line="240" w:lineRule="auto"/>
        <w:jc w:val="center"/>
        <w:rPr>
          <w:rFonts w:ascii="Times New Roman Bold" w:hAnsi="Times New Roman Bold" w:cs="Times New Roman"/>
          <w:b/>
          <w:bCs/>
          <w:smallCaps/>
          <w:noProof/>
          <w:sz w:val="32"/>
          <w:szCs w:val="32"/>
        </w:rPr>
      </w:pPr>
      <w:r>
        <w:rPr>
          <w:rFonts w:ascii="Times New Roman Bold" w:hAnsi="Times New Roman Bold"/>
          <w:b/>
          <w:bCs/>
          <w:smallCaps/>
          <w:noProof/>
          <w:sz w:val="32"/>
          <w:szCs w:val="32"/>
        </w:rPr>
        <w:lastRenderedPageBreak/>
        <w:t>Nueva Agenda del Consumidor</w:t>
      </w:r>
    </w:p>
    <w:p w14:paraId="2700BEAC" w14:textId="77777777" w:rsidR="00450244" w:rsidRDefault="00EB0B0F">
      <w:pPr>
        <w:spacing w:after="720" w:line="240" w:lineRule="auto"/>
        <w:jc w:val="center"/>
        <w:rPr>
          <w:rFonts w:ascii="Times New Roman Bold" w:hAnsi="Times New Roman Bold" w:cs="Times New Roman"/>
          <w:b/>
          <w:bCs/>
          <w:smallCaps/>
          <w:noProof/>
          <w:sz w:val="28"/>
          <w:szCs w:val="24"/>
        </w:rPr>
      </w:pPr>
      <w:r>
        <w:rPr>
          <w:rFonts w:ascii="Times New Roman Bold" w:hAnsi="Times New Roman Bold"/>
          <w:b/>
          <w:bCs/>
          <w:smallCaps/>
          <w:noProof/>
          <w:sz w:val="28"/>
          <w:szCs w:val="24"/>
        </w:rPr>
        <w:t>Reforzar la resiliencia del consumidor para una recuperación sostenible</w:t>
      </w:r>
    </w:p>
    <w:p w14:paraId="629F8368" w14:textId="77777777" w:rsidR="00450244" w:rsidRDefault="00EB0B0F">
      <w:pPr>
        <w:numPr>
          <w:ilvl w:val="0"/>
          <w:numId w:val="1"/>
        </w:numPr>
        <w:spacing w:after="240" w:line="240" w:lineRule="auto"/>
        <w:ind w:left="714" w:hanging="357"/>
        <w:jc w:val="both"/>
        <w:rPr>
          <w:rFonts w:ascii="Times New Roman" w:hAnsi="Times New Roman" w:cs="Times New Roman"/>
          <w:b/>
          <w:bCs/>
          <w:smallCaps/>
          <w:noProof/>
          <w:sz w:val="28"/>
          <w:szCs w:val="28"/>
        </w:rPr>
      </w:pPr>
      <w:r>
        <w:rPr>
          <w:rFonts w:ascii="Times New Roman" w:hAnsi="Times New Roman"/>
          <w:b/>
          <w:bCs/>
          <w:smallCaps/>
          <w:noProof/>
          <w:sz w:val="28"/>
          <w:szCs w:val="28"/>
        </w:rPr>
        <w:t>Introducción</w:t>
      </w:r>
    </w:p>
    <w:p w14:paraId="1C810C18"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 xml:space="preserve">Los consumidores europeos esperan, con razón, beneficiarse plenamente del </w:t>
      </w:r>
      <w:r>
        <w:rPr>
          <w:rFonts w:ascii="Times New Roman" w:hAnsi="Times New Roman"/>
          <w:b/>
          <w:bCs/>
          <w:noProof/>
          <w:sz w:val="24"/>
          <w:szCs w:val="24"/>
        </w:rPr>
        <w:t>mercado único y estar facultados para tomar decisiones informadas y desempeñar un papel activo en las transiciones ecológica y digital en todo momento y dondequiera que se encuentren en la UE</w:t>
      </w:r>
      <w:r>
        <w:rPr>
          <w:rFonts w:ascii="Times New Roman" w:hAnsi="Times New Roman"/>
          <w:noProof/>
          <w:sz w:val="24"/>
          <w:szCs w:val="24"/>
        </w:rPr>
        <w:t>. Esperan gozar de libre acceso a bienes y servicios en toda la U</w:t>
      </w:r>
      <w:r>
        <w:rPr>
          <w:rFonts w:ascii="Times New Roman" w:hAnsi="Times New Roman"/>
          <w:noProof/>
          <w:sz w:val="24"/>
          <w:szCs w:val="24"/>
        </w:rPr>
        <w:t xml:space="preserve">E y tener la seguridad de que sus derechos como consumidores están protegidos, a pesar de los retos tradicionales y emergentes. </w:t>
      </w:r>
    </w:p>
    <w:p w14:paraId="1DB9A9FF"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bCs/>
          <w:noProof/>
          <w:sz w:val="24"/>
          <w:szCs w:val="24"/>
        </w:rPr>
        <w:t>Nueva Agenda del Consumidor</w:t>
      </w:r>
      <w:r>
        <w:rPr>
          <w:rFonts w:ascii="Times New Roman" w:hAnsi="Times New Roman"/>
          <w:noProof/>
          <w:sz w:val="24"/>
          <w:szCs w:val="24"/>
        </w:rPr>
        <w:t xml:space="preserve"> («la Agenda») presenta una visión de la política europea de consumidores de 2020 a 2025, sobre l</w:t>
      </w:r>
      <w:r>
        <w:rPr>
          <w:rFonts w:ascii="Times New Roman" w:hAnsi="Times New Roman"/>
          <w:noProof/>
          <w:sz w:val="24"/>
          <w:szCs w:val="24"/>
        </w:rPr>
        <w:t>a base de la Agenda del Consumidor de 2012 (que expira en 2020) y en el Nuevo Marco para los Consumidores de 2018</w:t>
      </w:r>
      <w:r>
        <w:rPr>
          <w:rFonts w:ascii="Times New Roman" w:hAnsi="Times New Roman" w:cs="Times New Roman"/>
          <w:noProof/>
          <w:sz w:val="24"/>
          <w:szCs w:val="24"/>
          <w:vertAlign w:val="superscript"/>
          <w:lang w:val="en-GB"/>
        </w:rPr>
        <w:footnoteReference w:id="2"/>
      </w:r>
      <w:r>
        <w:rPr>
          <w:rFonts w:ascii="Times New Roman" w:hAnsi="Times New Roman"/>
          <w:noProof/>
          <w:sz w:val="24"/>
          <w:szCs w:val="24"/>
        </w:rPr>
        <w:t>. Asimismo,</w:t>
      </w:r>
      <w:r>
        <w:rPr>
          <w:noProof/>
        </w:rPr>
        <w:t xml:space="preserve"> </w:t>
      </w:r>
      <w:r>
        <w:rPr>
          <w:rFonts w:ascii="Times New Roman" w:hAnsi="Times New Roman"/>
          <w:noProof/>
          <w:sz w:val="24"/>
          <w:szCs w:val="24"/>
        </w:rPr>
        <w:t>tiene como finalidad abordar las necesidades inmediatas de los consumidores ante la actual pandemia de COVID-19 y aumentar su res</w:t>
      </w:r>
      <w:r>
        <w:rPr>
          <w:rFonts w:ascii="Times New Roman" w:hAnsi="Times New Roman"/>
          <w:noProof/>
          <w:sz w:val="24"/>
          <w:szCs w:val="24"/>
        </w:rPr>
        <w:t xml:space="preserve">iliencia. La pandemia ha planteado retos significativos que afectan la vida cotidiana de los consumidores, sobre todo, en relación con la disponibilidad y la accesibilidad de productos y servicios, así como los viajes hacia, desde y dentro de la UE. </w:t>
      </w:r>
    </w:p>
    <w:p w14:paraId="76BB54BB"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La Ag</w:t>
      </w:r>
      <w:r>
        <w:rPr>
          <w:rFonts w:ascii="Times New Roman" w:hAnsi="Times New Roman"/>
          <w:noProof/>
          <w:sz w:val="24"/>
          <w:szCs w:val="24"/>
        </w:rPr>
        <w:t xml:space="preserve">enda cubre </w:t>
      </w:r>
      <w:r>
        <w:rPr>
          <w:rFonts w:ascii="Times New Roman" w:hAnsi="Times New Roman"/>
          <w:b/>
          <w:bCs/>
          <w:noProof/>
          <w:sz w:val="24"/>
          <w:szCs w:val="24"/>
        </w:rPr>
        <w:t>cinco ámbitos prioritarios principales</w:t>
      </w:r>
      <w:r>
        <w:rPr>
          <w:rFonts w:ascii="Times New Roman" w:hAnsi="Times New Roman"/>
          <w:noProof/>
          <w:sz w:val="24"/>
          <w:szCs w:val="24"/>
        </w:rPr>
        <w:t xml:space="preserve">: </w:t>
      </w:r>
    </w:p>
    <w:p w14:paraId="0BAE7383" w14:textId="77777777" w:rsidR="00450244" w:rsidRDefault="00EB0B0F">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la transición ecológica,</w:t>
      </w:r>
    </w:p>
    <w:p w14:paraId="3E921985" w14:textId="77777777" w:rsidR="00450244" w:rsidRDefault="00EB0B0F">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la transformación digital;</w:t>
      </w:r>
    </w:p>
    <w:p w14:paraId="05E9CE40" w14:textId="77777777" w:rsidR="00450244" w:rsidRDefault="00EB0B0F">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la tutela y el respeto de los derechos de los consumidores,</w:t>
      </w:r>
    </w:p>
    <w:p w14:paraId="759A12F0" w14:textId="77777777" w:rsidR="00450244" w:rsidRDefault="00EB0B0F">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las necesidades específicas de determinados grupos de consumidores y</w:t>
      </w:r>
    </w:p>
    <w:p w14:paraId="32D5690A" w14:textId="77777777" w:rsidR="00450244" w:rsidRDefault="00EB0B0F">
      <w:pPr>
        <w:numPr>
          <w:ilvl w:val="0"/>
          <w:numId w:val="6"/>
        </w:numPr>
        <w:spacing w:after="24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la cooperación internac</w:t>
      </w:r>
      <w:r>
        <w:rPr>
          <w:rFonts w:ascii="Times New Roman" w:hAnsi="Times New Roman"/>
          <w:b/>
          <w:noProof/>
          <w:sz w:val="24"/>
          <w:szCs w:val="24"/>
        </w:rPr>
        <w:t xml:space="preserve">ional. </w:t>
      </w:r>
    </w:p>
    <w:p w14:paraId="402B752E"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Al garantizar que estas prioridades se aborden debidamente, la Agenda actuará como una </w:t>
      </w:r>
      <w:r>
        <w:rPr>
          <w:rFonts w:ascii="Times New Roman" w:hAnsi="Times New Roman"/>
          <w:b/>
          <w:bCs/>
          <w:noProof/>
          <w:sz w:val="24"/>
          <w:szCs w:val="24"/>
        </w:rPr>
        <w:t>guía</w:t>
      </w:r>
      <w:r>
        <w:rPr>
          <w:rFonts w:ascii="Times New Roman" w:hAnsi="Times New Roman"/>
          <w:noProof/>
          <w:sz w:val="24"/>
          <w:szCs w:val="24"/>
        </w:rPr>
        <w:t xml:space="preserve"> para la aplicación del Programa sobre el Mercado Único en el marco del </w:t>
      </w:r>
      <w:r>
        <w:rPr>
          <w:rFonts w:ascii="Times New Roman" w:hAnsi="Times New Roman"/>
          <w:b/>
          <w:bCs/>
          <w:noProof/>
          <w:sz w:val="24"/>
          <w:szCs w:val="24"/>
        </w:rPr>
        <w:t>nuevo marco financiero plurianual (MFP)</w:t>
      </w:r>
      <w:r>
        <w:rPr>
          <w:rFonts w:ascii="Times New Roman" w:hAnsi="Times New Roman"/>
          <w:noProof/>
          <w:sz w:val="24"/>
          <w:szCs w:val="24"/>
        </w:rPr>
        <w:t>. Al promover medidas para un mercado único má</w:t>
      </w:r>
      <w:r>
        <w:rPr>
          <w:rFonts w:ascii="Times New Roman" w:hAnsi="Times New Roman"/>
          <w:noProof/>
          <w:sz w:val="24"/>
          <w:szCs w:val="24"/>
        </w:rPr>
        <w:t>s ecológico, más digital y más justo, su objetivo es fortalecer la confianza entre los consumidores, cuyos gastos generan el 54 % del PIB de la UE</w:t>
      </w:r>
      <w:r>
        <w:rPr>
          <w:rFonts w:ascii="Times New Roman" w:hAnsi="Times New Roman" w:cs="Times New Roman"/>
          <w:noProof/>
          <w:sz w:val="24"/>
          <w:szCs w:val="24"/>
          <w:vertAlign w:val="superscript"/>
          <w:lang w:val="en-GB"/>
        </w:rPr>
        <w:footnoteReference w:id="3"/>
      </w:r>
      <w:r>
        <w:rPr>
          <w:rFonts w:ascii="Times New Roman" w:hAnsi="Times New Roman"/>
          <w:noProof/>
          <w:sz w:val="24"/>
          <w:szCs w:val="24"/>
        </w:rPr>
        <w:t>, estimulando así la recuperación económica desde el punto de vista de la demanda.</w:t>
      </w:r>
      <w:r>
        <w:rPr>
          <w:noProof/>
        </w:rPr>
        <w:t xml:space="preserve"> </w:t>
      </w:r>
      <w:r>
        <w:rPr>
          <w:rFonts w:ascii="Times New Roman" w:hAnsi="Times New Roman"/>
          <w:noProof/>
          <w:sz w:val="24"/>
          <w:szCs w:val="24"/>
        </w:rPr>
        <w:t>En este entorno, existe u</w:t>
      </w:r>
      <w:r>
        <w:rPr>
          <w:rFonts w:ascii="Times New Roman" w:hAnsi="Times New Roman"/>
          <w:noProof/>
          <w:sz w:val="24"/>
          <w:szCs w:val="24"/>
        </w:rPr>
        <w:t>na necesidad de garantizar la protección eficaz de los intereses de los consumidores, apoyando al mismo tiempo también a las empresas, especialmente a las pequeñas y medianas empresas</w:t>
      </w:r>
      <w:r>
        <w:rPr>
          <w:rFonts w:ascii="Times New Roman" w:hAnsi="Times New Roman" w:cs="Times New Roman"/>
          <w:noProof/>
          <w:sz w:val="24"/>
          <w:szCs w:val="24"/>
          <w:vertAlign w:val="superscript"/>
          <w:lang w:val="en-GB"/>
        </w:rPr>
        <w:footnoteReference w:id="4"/>
      </w:r>
      <w:r>
        <w:rPr>
          <w:rFonts w:ascii="Times New Roman" w:hAnsi="Times New Roman"/>
          <w:noProof/>
          <w:sz w:val="24"/>
          <w:szCs w:val="24"/>
        </w:rPr>
        <w:t>.</w:t>
      </w:r>
    </w:p>
    <w:p w14:paraId="5E3B49AA" w14:textId="77777777" w:rsidR="00450244" w:rsidRDefault="00EB0B0F">
      <w:pPr>
        <w:jc w:val="both"/>
        <w:rPr>
          <w:rFonts w:ascii="Times New Roman" w:hAnsi="Times New Roman" w:cs="Times New Roman"/>
          <w:noProof/>
          <w:sz w:val="24"/>
          <w:szCs w:val="24"/>
        </w:rPr>
      </w:pPr>
      <w:r>
        <w:rPr>
          <w:rFonts w:ascii="Times New Roman" w:hAnsi="Times New Roman"/>
          <w:noProof/>
          <w:sz w:val="24"/>
          <w:szCs w:val="24"/>
        </w:rPr>
        <w:lastRenderedPageBreak/>
        <w:t xml:space="preserve">La Agenda adopta un </w:t>
      </w:r>
      <w:r>
        <w:rPr>
          <w:rFonts w:ascii="Times New Roman" w:hAnsi="Times New Roman"/>
          <w:b/>
          <w:bCs/>
          <w:noProof/>
          <w:sz w:val="24"/>
          <w:szCs w:val="24"/>
        </w:rPr>
        <w:t xml:space="preserve">enfoque holístico que abarca varias políticas de </w:t>
      </w:r>
      <w:r>
        <w:rPr>
          <w:rFonts w:ascii="Times New Roman" w:hAnsi="Times New Roman"/>
          <w:b/>
          <w:bCs/>
          <w:noProof/>
          <w:sz w:val="24"/>
          <w:szCs w:val="24"/>
        </w:rPr>
        <w:t>la Unión</w:t>
      </w:r>
      <w:r>
        <w:rPr>
          <w:rFonts w:ascii="Times New Roman" w:hAnsi="Times New Roman"/>
          <w:noProof/>
          <w:sz w:val="24"/>
          <w:szCs w:val="24"/>
        </w:rPr>
        <w:t xml:space="preserve"> que revisten especial importancia para los consumidores. Refleja la necesidad de tener en cuenta los requisitos de protección de los consumidores en la formulación y la aplicación de otras políticas y actividades</w:t>
      </w:r>
      <w:r>
        <w:rPr>
          <w:rStyle w:val="Refdenotaalpie"/>
          <w:rFonts w:ascii="Times New Roman" w:hAnsi="Times New Roman" w:cs="Times New Roman"/>
          <w:noProof/>
          <w:sz w:val="24"/>
          <w:szCs w:val="24"/>
          <w:lang w:val="en-GB"/>
        </w:rPr>
        <w:footnoteReference w:id="5"/>
      </w:r>
      <w:r>
        <w:rPr>
          <w:rFonts w:ascii="Times New Roman" w:hAnsi="Times New Roman"/>
          <w:noProof/>
          <w:sz w:val="24"/>
          <w:szCs w:val="24"/>
        </w:rPr>
        <w:t>. Complementa otras iniciativas d</w:t>
      </w:r>
      <w:r>
        <w:rPr>
          <w:rFonts w:ascii="Times New Roman" w:hAnsi="Times New Roman"/>
          <w:noProof/>
          <w:sz w:val="24"/>
          <w:szCs w:val="24"/>
        </w:rPr>
        <w:t>e la UE, tales como el Pacto Verde Europeo</w:t>
      </w:r>
      <w:r>
        <w:rPr>
          <w:rFonts w:ascii="Times New Roman" w:hAnsi="Times New Roman" w:cs="Times New Roman"/>
          <w:noProof/>
          <w:sz w:val="24"/>
          <w:szCs w:val="24"/>
          <w:vertAlign w:val="superscript"/>
          <w:lang w:val="en-GB"/>
        </w:rPr>
        <w:footnoteReference w:id="6"/>
      </w:r>
      <w:r>
        <w:rPr>
          <w:rFonts w:ascii="Times New Roman" w:hAnsi="Times New Roman"/>
          <w:noProof/>
          <w:sz w:val="24"/>
          <w:szCs w:val="24"/>
        </w:rPr>
        <w:t>, el Plan de Acción para la Economía Circular</w:t>
      </w:r>
      <w:r>
        <w:rPr>
          <w:rFonts w:ascii="Times New Roman" w:hAnsi="Times New Roman" w:cs="Times New Roman"/>
          <w:noProof/>
          <w:sz w:val="24"/>
          <w:szCs w:val="24"/>
          <w:vertAlign w:val="superscript"/>
          <w:lang w:val="en-GB"/>
        </w:rPr>
        <w:footnoteReference w:id="7"/>
      </w:r>
      <w:r>
        <w:rPr>
          <w:rFonts w:ascii="Times New Roman" w:hAnsi="Times New Roman"/>
          <w:noProof/>
          <w:sz w:val="24"/>
          <w:szCs w:val="24"/>
        </w:rPr>
        <w:t xml:space="preserve"> y la Comunicación «Configurar el futuro digital de Europa»</w:t>
      </w:r>
      <w:r>
        <w:rPr>
          <w:rFonts w:ascii="Times New Roman" w:hAnsi="Times New Roman" w:cs="Times New Roman"/>
          <w:noProof/>
          <w:sz w:val="24"/>
          <w:szCs w:val="24"/>
          <w:vertAlign w:val="superscript"/>
          <w:lang w:val="en-GB"/>
        </w:rPr>
        <w:footnoteReference w:id="8"/>
      </w:r>
      <w:r>
        <w:rPr>
          <w:rFonts w:ascii="Times New Roman" w:hAnsi="Times New Roman"/>
          <w:noProof/>
          <w:sz w:val="24"/>
          <w:szCs w:val="24"/>
        </w:rPr>
        <w:t xml:space="preserve">. Asimismo, apoya los marcos internacionales pertinentes, tales como la Agenda 2030 para el </w:t>
      </w:r>
      <w:r>
        <w:rPr>
          <w:rFonts w:ascii="Times New Roman" w:hAnsi="Times New Roman"/>
          <w:noProof/>
          <w:sz w:val="24"/>
          <w:szCs w:val="24"/>
        </w:rPr>
        <w:t>Desarrollo Sostenible de las Naciones Unidas y la Convención de las Naciones Unidas sobre los Derechos de las Personas con Discapacidad.</w:t>
      </w:r>
    </w:p>
    <w:p w14:paraId="2385E470"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Una respuesta eficaz a todas estas prioridades requiere una estrecha colaboración entre la </w:t>
      </w:r>
      <w:r>
        <w:rPr>
          <w:rFonts w:ascii="Times New Roman" w:hAnsi="Times New Roman"/>
          <w:b/>
          <w:bCs/>
          <w:noProof/>
          <w:sz w:val="24"/>
          <w:szCs w:val="24"/>
        </w:rPr>
        <w:t>UE y sus Estados miembros</w:t>
      </w:r>
      <w:r>
        <w:rPr>
          <w:rFonts w:ascii="Times New Roman" w:hAnsi="Times New Roman"/>
          <w:noProof/>
          <w:sz w:val="24"/>
          <w:szCs w:val="24"/>
        </w:rPr>
        <w:t xml:space="preserve"> y </w:t>
      </w:r>
      <w:r>
        <w:rPr>
          <w:rFonts w:ascii="Times New Roman" w:hAnsi="Times New Roman"/>
          <w:noProof/>
          <w:sz w:val="24"/>
          <w:szCs w:val="24"/>
        </w:rPr>
        <w:t>una transposición, aplicación y ejecución adecuadas del marco sólido de protección de los consumidores desarrollado a lo largo de muchos años. Por esta razón, la Agenda propone</w:t>
      </w:r>
      <w:r>
        <w:rPr>
          <w:rFonts w:ascii="Times New Roman" w:hAnsi="Times New Roman"/>
          <w:noProof/>
          <w:sz w:val="24"/>
        </w:rPr>
        <w:t xml:space="preserve"> </w:t>
      </w:r>
      <w:r>
        <w:rPr>
          <w:rFonts w:ascii="Times New Roman" w:hAnsi="Times New Roman"/>
          <w:b/>
          <w:bCs/>
          <w:noProof/>
          <w:sz w:val="24"/>
          <w:szCs w:val="24"/>
        </w:rPr>
        <w:t xml:space="preserve">prioridades y puntos clave de acción </w:t>
      </w:r>
      <w:r>
        <w:rPr>
          <w:rFonts w:ascii="Times New Roman" w:hAnsi="Times New Roman"/>
          <w:noProof/>
          <w:sz w:val="24"/>
          <w:szCs w:val="24"/>
        </w:rPr>
        <w:t xml:space="preserve">que deben impulsarse de manera conjunta a </w:t>
      </w:r>
      <w:r>
        <w:rPr>
          <w:rFonts w:ascii="Times New Roman" w:hAnsi="Times New Roman"/>
          <w:noProof/>
          <w:sz w:val="24"/>
          <w:szCs w:val="24"/>
        </w:rPr>
        <w:t>escala europea y nacional</w:t>
      </w:r>
      <w:r>
        <w:rPr>
          <w:rStyle w:val="Refdenotaalpie"/>
          <w:rFonts w:ascii="Times New Roman" w:hAnsi="Times New Roman" w:cs="Times New Roman"/>
          <w:noProof/>
          <w:sz w:val="24"/>
          <w:szCs w:val="24"/>
          <w:lang w:val="en-GB"/>
        </w:rPr>
        <w:footnoteReference w:id="9"/>
      </w:r>
      <w:r>
        <w:rPr>
          <w:rFonts w:ascii="Times New Roman" w:hAnsi="Times New Roman"/>
          <w:noProof/>
          <w:sz w:val="24"/>
          <w:szCs w:val="24"/>
        </w:rPr>
        <w:t xml:space="preserve">. </w:t>
      </w:r>
    </w:p>
    <w:p w14:paraId="629962D2" w14:textId="77777777" w:rsidR="00450244" w:rsidRDefault="00EB0B0F">
      <w:pPr>
        <w:kinsoku w:val="0"/>
        <w:overflowPunct w:val="0"/>
        <w:spacing w:after="48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La Agenda es el resultado de intensos preparativos y debates con las partes interesadas. Una </w:t>
      </w:r>
      <w:r>
        <w:rPr>
          <w:rFonts w:ascii="Times New Roman" w:hAnsi="Times New Roman"/>
          <w:b/>
          <w:noProof/>
          <w:sz w:val="24"/>
          <w:szCs w:val="24"/>
        </w:rPr>
        <w:t>consulta pública abierta</w:t>
      </w:r>
      <w:r>
        <w:rPr>
          <w:rFonts w:ascii="Times New Roman" w:hAnsi="Times New Roman"/>
          <w:noProof/>
          <w:sz w:val="24"/>
          <w:szCs w:val="24"/>
        </w:rPr>
        <w:t xml:space="preserve"> mostró un apoyo general a sus principales prioridades, incluida la necesidad de responder a la pandemia de C</w:t>
      </w:r>
      <w:r>
        <w:rPr>
          <w:rFonts w:ascii="Times New Roman" w:hAnsi="Times New Roman"/>
          <w:noProof/>
          <w:sz w:val="24"/>
          <w:szCs w:val="24"/>
        </w:rPr>
        <w:t>OVID-19</w:t>
      </w:r>
      <w:r>
        <w:rPr>
          <w:rFonts w:ascii="Times New Roman" w:hAnsi="Times New Roman" w:cs="Times New Roman"/>
          <w:noProof/>
          <w:sz w:val="24"/>
          <w:szCs w:val="24"/>
          <w:vertAlign w:val="superscript"/>
        </w:rPr>
        <w:footnoteReference w:id="10"/>
      </w:r>
      <w:r>
        <w:rPr>
          <w:rFonts w:ascii="Times New Roman" w:hAnsi="Times New Roman"/>
          <w:noProof/>
          <w:sz w:val="24"/>
          <w:szCs w:val="24"/>
        </w:rPr>
        <w:t>. El enfoque integral fue acogido favorablemente como un factor clave para una recuperación sostenible y ecológica y una sociedad justa orientada al aspecto digital. La aplicación y la tutela eficaces, así como el apoyo para los consumidores con n</w:t>
      </w:r>
      <w:r>
        <w:rPr>
          <w:rFonts w:ascii="Times New Roman" w:hAnsi="Times New Roman"/>
          <w:noProof/>
          <w:sz w:val="24"/>
          <w:szCs w:val="24"/>
        </w:rPr>
        <w:t xml:space="preserve">ecesidades específicas, se consideran cuestiones transversales importantes. </w:t>
      </w:r>
    </w:p>
    <w:p w14:paraId="3170ECBB" w14:textId="77777777" w:rsidR="00450244" w:rsidRDefault="00EB0B0F">
      <w:pPr>
        <w:numPr>
          <w:ilvl w:val="0"/>
          <w:numId w:val="1"/>
        </w:numPr>
        <w:spacing w:after="240" w:line="240" w:lineRule="auto"/>
        <w:ind w:left="714" w:hanging="357"/>
        <w:jc w:val="both"/>
        <w:rPr>
          <w:rFonts w:ascii="Times New Roman" w:hAnsi="Times New Roman" w:cs="Times New Roman"/>
          <w:b/>
          <w:bCs/>
          <w:noProof/>
          <w:sz w:val="24"/>
          <w:szCs w:val="24"/>
        </w:rPr>
      </w:pPr>
      <w:r>
        <w:rPr>
          <w:rFonts w:ascii="Times New Roman Bold" w:hAnsi="Times New Roman Bold"/>
          <w:b/>
          <w:bCs/>
          <w:smallCaps/>
          <w:noProof/>
          <w:sz w:val="28"/>
          <w:szCs w:val="28"/>
        </w:rPr>
        <w:t xml:space="preserve">Los consumidores durante la pandemia de COVID-19 </w:t>
      </w:r>
    </w:p>
    <w:p w14:paraId="54367EA0" w14:textId="77777777" w:rsidR="00450244" w:rsidRDefault="00EB0B0F">
      <w:pPr>
        <w:pBdr>
          <w:top w:val="single" w:sz="4" w:space="1" w:color="auto"/>
          <w:left w:val="single" w:sz="4" w:space="4" w:color="auto"/>
          <w:bottom w:val="single" w:sz="4" w:space="7" w:color="auto"/>
          <w:right w:val="single" w:sz="4" w:space="4" w:color="auto"/>
        </w:pBdr>
        <w:spacing w:after="240" w:line="240" w:lineRule="auto"/>
        <w:jc w:val="both"/>
        <w:rPr>
          <w:rFonts w:ascii="Times New Roman" w:hAnsi="Times New Roman" w:cs="Times New Roman"/>
          <w:i/>
          <w:iCs/>
          <w:noProof/>
          <w:sz w:val="24"/>
          <w:szCs w:val="24"/>
        </w:rPr>
      </w:pPr>
      <w:r>
        <w:rPr>
          <w:rFonts w:ascii="Times New Roman" w:hAnsi="Times New Roman"/>
          <w:bCs/>
          <w:i/>
          <w:iCs/>
          <w:noProof/>
          <w:sz w:val="24"/>
          <w:szCs w:val="24"/>
        </w:rPr>
        <w:t>Ejemplo: Las estafas en línea a los consumidores</w:t>
      </w:r>
      <w:r>
        <w:rPr>
          <w:rFonts w:ascii="Times New Roman" w:hAnsi="Times New Roman"/>
          <w:i/>
          <w:iCs/>
          <w:noProof/>
          <w:sz w:val="24"/>
          <w:szCs w:val="24"/>
        </w:rPr>
        <w:t xml:space="preserve"> han experimentado un aumento significativo durante la crisis. Los defraudadores han aprovechado los temores de los consumidores para vender productos innecesarios, ineficaces y potencialmente peligrosos, sobre la base de afirmaciones falsas </w:t>
      </w:r>
      <w:r>
        <w:rPr>
          <w:rFonts w:ascii="Times New Roman" w:hAnsi="Times New Roman"/>
          <w:i/>
          <w:noProof/>
          <w:sz w:val="24"/>
          <w:szCs w:val="24"/>
        </w:rPr>
        <w:t>con respecto a</w:t>
      </w:r>
      <w:r>
        <w:rPr>
          <w:rFonts w:ascii="Times New Roman" w:hAnsi="Times New Roman"/>
          <w:i/>
          <w:noProof/>
          <w:sz w:val="24"/>
          <w:szCs w:val="24"/>
        </w:rPr>
        <w:t xml:space="preserve"> sus beneficios para la salud</w:t>
      </w:r>
      <w:r>
        <w:rPr>
          <w:rFonts w:ascii="Times New Roman" w:hAnsi="Times New Roman"/>
          <w:i/>
          <w:iCs/>
          <w:noProof/>
          <w:sz w:val="24"/>
          <w:szCs w:val="24"/>
        </w:rPr>
        <w:t>, por ejemplo, comercializando bienes con características protectoras injustificadas o vendiendo mascarillas que no cumplen con los requisitos pertinentes. La Comisión y las autoridades en materia de consumo se han puesto en co</w:t>
      </w:r>
      <w:r>
        <w:rPr>
          <w:rFonts w:ascii="Times New Roman" w:hAnsi="Times New Roman"/>
          <w:i/>
          <w:iCs/>
          <w:noProof/>
          <w:sz w:val="24"/>
          <w:szCs w:val="24"/>
        </w:rPr>
        <w:t>ntacto con las plataformas para asegurar que cientos de millones de ofertas y anuncios ilícitos sean eliminados</w:t>
      </w:r>
      <w:r>
        <w:rPr>
          <w:rFonts w:ascii="Times New Roman" w:hAnsi="Times New Roman"/>
          <w:i/>
          <w:noProof/>
          <w:sz w:val="24"/>
          <w:szCs w:val="24"/>
        </w:rPr>
        <w:t>. Los derechos y la seguridad de los consumidores deben seguir protegiéndose, especialmente durante un período de incertidumbre y angustia sin pr</w:t>
      </w:r>
      <w:r>
        <w:rPr>
          <w:rFonts w:ascii="Times New Roman" w:hAnsi="Times New Roman"/>
          <w:i/>
          <w:noProof/>
          <w:sz w:val="24"/>
          <w:szCs w:val="24"/>
        </w:rPr>
        <w:t>ecedentes.</w:t>
      </w:r>
    </w:p>
    <w:p w14:paraId="49A49EE9"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pandemia de COVID-19 es, en primer lugar, una </w:t>
      </w:r>
      <w:r>
        <w:rPr>
          <w:rFonts w:ascii="Times New Roman" w:hAnsi="Times New Roman"/>
          <w:b/>
          <w:bCs/>
          <w:noProof/>
          <w:sz w:val="24"/>
          <w:szCs w:val="24"/>
        </w:rPr>
        <w:t>crisis sanitaria</w:t>
      </w:r>
      <w:r>
        <w:rPr>
          <w:rFonts w:ascii="Times New Roman" w:hAnsi="Times New Roman"/>
          <w:noProof/>
          <w:sz w:val="24"/>
          <w:szCs w:val="24"/>
        </w:rPr>
        <w:t xml:space="preserve">. La UE y sus Estados miembros han actuado con determinación para luchar contra la pandemia de manera coordinada. Es importante que todos tengan un </w:t>
      </w:r>
      <w:r>
        <w:rPr>
          <w:rFonts w:ascii="Times New Roman" w:hAnsi="Times New Roman"/>
          <w:b/>
          <w:noProof/>
          <w:sz w:val="24"/>
          <w:szCs w:val="24"/>
        </w:rPr>
        <w:t xml:space="preserve">acceso equitativo </w:t>
      </w:r>
      <w:r>
        <w:rPr>
          <w:rFonts w:ascii="Times New Roman" w:hAnsi="Times New Roman"/>
          <w:noProof/>
          <w:sz w:val="24"/>
          <w:szCs w:val="24"/>
        </w:rPr>
        <w:t xml:space="preserve">y oportuno </w:t>
      </w:r>
      <w:r>
        <w:rPr>
          <w:rFonts w:ascii="Times New Roman" w:hAnsi="Times New Roman"/>
          <w:b/>
          <w:noProof/>
          <w:sz w:val="24"/>
          <w:szCs w:val="24"/>
        </w:rPr>
        <w:t>a p</w:t>
      </w:r>
      <w:r>
        <w:rPr>
          <w:rFonts w:ascii="Times New Roman" w:hAnsi="Times New Roman"/>
          <w:b/>
          <w:noProof/>
          <w:sz w:val="24"/>
          <w:szCs w:val="24"/>
        </w:rPr>
        <w:t xml:space="preserve">ruebas, </w:t>
      </w:r>
      <w:r>
        <w:rPr>
          <w:rFonts w:ascii="Times New Roman" w:hAnsi="Times New Roman"/>
          <w:b/>
          <w:noProof/>
          <w:sz w:val="24"/>
          <w:szCs w:val="24"/>
        </w:rPr>
        <w:lastRenderedPageBreak/>
        <w:t>equipos de protección, tratamiento y futuras vacunas contra la COVID-19 asequibles</w:t>
      </w:r>
      <w:r>
        <w:rPr>
          <w:rFonts w:ascii="Times New Roman" w:hAnsi="Times New Roman" w:cs="Times New Roman"/>
          <w:noProof/>
          <w:sz w:val="24"/>
          <w:szCs w:val="24"/>
          <w:vertAlign w:val="superscript"/>
          <w:lang w:val="en-GB"/>
        </w:rPr>
        <w:footnoteReference w:id="11"/>
      </w:r>
      <w:r>
        <w:rPr>
          <w:rFonts w:ascii="Times New Roman" w:hAnsi="Times New Roman"/>
          <w:b/>
          <w:noProof/>
          <w:sz w:val="24"/>
          <w:szCs w:val="24"/>
        </w:rPr>
        <w:t xml:space="preserve"> </w:t>
      </w:r>
      <w:r>
        <w:rPr>
          <w:rFonts w:ascii="Times New Roman" w:hAnsi="Times New Roman"/>
          <w:noProof/>
          <w:sz w:val="24"/>
          <w:szCs w:val="24"/>
        </w:rPr>
        <w:t>y toda la asistencia sanitaria preventiva y curativa necesaria</w:t>
      </w:r>
      <w:r>
        <w:rPr>
          <w:rFonts w:ascii="Times New Roman" w:hAnsi="Times New Roman" w:cs="Times New Roman"/>
          <w:noProof/>
          <w:sz w:val="24"/>
          <w:szCs w:val="24"/>
          <w:vertAlign w:val="superscript"/>
          <w:lang w:val="en-GB"/>
        </w:rPr>
        <w:footnoteReference w:id="12"/>
      </w:r>
      <w:r>
        <w:rPr>
          <w:rFonts w:ascii="Times New Roman" w:hAnsi="Times New Roman"/>
          <w:noProof/>
          <w:sz w:val="24"/>
          <w:szCs w:val="24"/>
        </w:rPr>
        <w:t xml:space="preserve">. </w:t>
      </w:r>
      <w:r>
        <w:rPr>
          <w:rFonts w:ascii="Times New Roman" w:hAnsi="Times New Roman"/>
          <w:noProof/>
          <w:sz w:val="24"/>
          <w:szCs w:val="24"/>
          <w:shd w:val="clear" w:color="auto" w:fill="FFFFFF"/>
        </w:rPr>
        <w:t>Recientemente, la Comisión ha establecido medidas de respuesta concretas adicionales</w:t>
      </w:r>
      <w:r>
        <w:rPr>
          <w:rStyle w:val="Refdenotaalpie"/>
          <w:rFonts w:ascii="Times New Roman" w:hAnsi="Times New Roman" w:cs="Times New Roman"/>
          <w:noProof/>
          <w:sz w:val="24"/>
          <w:szCs w:val="24"/>
          <w:shd w:val="clear" w:color="auto" w:fill="FFFFFF"/>
          <w:lang w:val="en-GB"/>
        </w:rPr>
        <w:footnoteReference w:id="13"/>
      </w:r>
      <w:r>
        <w:rPr>
          <w:rFonts w:ascii="Times New Roman" w:hAnsi="Times New Roman"/>
          <w:noProof/>
          <w:sz w:val="24"/>
          <w:szCs w:val="24"/>
          <w:shd w:val="clear" w:color="auto" w:fill="FFFFFF"/>
        </w:rPr>
        <w:t xml:space="preserve"> para ayuda</w:t>
      </w:r>
      <w:r>
        <w:rPr>
          <w:rFonts w:ascii="Times New Roman" w:hAnsi="Times New Roman"/>
          <w:noProof/>
          <w:sz w:val="24"/>
          <w:szCs w:val="24"/>
          <w:shd w:val="clear" w:color="auto" w:fill="FFFFFF"/>
        </w:rPr>
        <w:t>r a limitar la propagación del coronavirus, proteger las vidas de las personas y reforzar la resiliencia en todos los Estados miembros</w:t>
      </w:r>
      <w:r>
        <w:rPr>
          <w:rFonts w:ascii="Times New Roman" w:hAnsi="Times New Roman"/>
          <w:noProof/>
          <w:sz w:val="24"/>
          <w:szCs w:val="24"/>
        </w:rPr>
        <w:t>. Los productos y servicios que resultan indispensables durante la crisis deben proporcionar al consumidor plenas garantía</w:t>
      </w:r>
      <w:r>
        <w:rPr>
          <w:rFonts w:ascii="Times New Roman" w:hAnsi="Times New Roman"/>
          <w:noProof/>
          <w:sz w:val="24"/>
          <w:szCs w:val="24"/>
        </w:rPr>
        <w:t xml:space="preserve">s con respecto a los derechos fundamentales, la ética médica, la privacidad y la protección de datos de conformidad con el Reglamento General de Protección de Datos. </w:t>
      </w:r>
    </w:p>
    <w:p w14:paraId="4B7121DE"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Sin embargo, los </w:t>
      </w:r>
      <w:r>
        <w:rPr>
          <w:rFonts w:ascii="Times New Roman" w:hAnsi="Times New Roman"/>
          <w:b/>
          <w:bCs/>
          <w:noProof/>
          <w:sz w:val="24"/>
          <w:szCs w:val="24"/>
        </w:rPr>
        <w:t>profundos trastornos sociales y económicos</w:t>
      </w:r>
      <w:r>
        <w:rPr>
          <w:rFonts w:ascii="Times New Roman" w:hAnsi="Times New Roman"/>
          <w:noProof/>
          <w:sz w:val="24"/>
          <w:szCs w:val="24"/>
        </w:rPr>
        <w:t xml:space="preserve"> que se han producido como con</w:t>
      </w:r>
      <w:r>
        <w:rPr>
          <w:rFonts w:ascii="Times New Roman" w:hAnsi="Times New Roman"/>
          <w:noProof/>
          <w:sz w:val="24"/>
          <w:szCs w:val="24"/>
        </w:rPr>
        <w:t xml:space="preserve">secuencia de la pandemia plantean un importante desafío para la sociedad. La UE ha respondido con un esfuerzo sin precedentes para reforzar la recuperación y la resiliencia, pero la economía sigue siendo frágil. </w:t>
      </w:r>
    </w:p>
    <w:p w14:paraId="4E2D1797"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Asimismo, la pandemia está cambiando visibl</w:t>
      </w:r>
      <w:r>
        <w:rPr>
          <w:rFonts w:ascii="Times New Roman" w:hAnsi="Times New Roman"/>
          <w:noProof/>
          <w:sz w:val="24"/>
          <w:szCs w:val="24"/>
        </w:rPr>
        <w:t xml:space="preserve">emente los </w:t>
      </w:r>
      <w:r>
        <w:rPr>
          <w:rFonts w:ascii="Times New Roman" w:hAnsi="Times New Roman"/>
          <w:b/>
          <w:bCs/>
          <w:noProof/>
          <w:sz w:val="24"/>
          <w:szCs w:val="24"/>
        </w:rPr>
        <w:t>patrones de consumo y movilidad</w:t>
      </w:r>
      <w:r>
        <w:rPr>
          <w:rFonts w:ascii="Times New Roman" w:hAnsi="Times New Roman"/>
          <w:noProof/>
          <w:sz w:val="24"/>
          <w:szCs w:val="24"/>
        </w:rPr>
        <w:t xml:space="preserve"> de las personas.</w:t>
      </w:r>
      <w:r>
        <w:rPr>
          <w:rFonts w:ascii="Times New Roman" w:hAnsi="Times New Roman"/>
          <w:iCs/>
          <w:noProof/>
          <w:sz w:val="24"/>
          <w:szCs w:val="24"/>
        </w:rPr>
        <w:t xml:space="preserve"> Las medidas de confinamiento destacaron el papel fundamental de las tecnologías digitales en la vida de las personas, permitiendo comprar bienes esenciales que, de otra manera, no serían asequibles y acceder a servicios a pesar de las restricciones.</w:t>
      </w:r>
      <w:r>
        <w:rPr>
          <w:rFonts w:ascii="Times New Roman" w:hAnsi="Times New Roman"/>
          <w:noProof/>
          <w:sz w:val="24"/>
          <w:szCs w:val="24"/>
        </w:rPr>
        <w:t xml:space="preserve"> Las t</w:t>
      </w:r>
      <w:r>
        <w:rPr>
          <w:rFonts w:ascii="Times New Roman" w:hAnsi="Times New Roman"/>
          <w:noProof/>
          <w:sz w:val="24"/>
          <w:szCs w:val="24"/>
        </w:rPr>
        <w:t>endencias observadas incluyen comprar más a nivel local y reservar viajes con menos tiempo de anticipación</w:t>
      </w:r>
      <w:r>
        <w:rPr>
          <w:rFonts w:ascii="Times New Roman" w:hAnsi="Times New Roman"/>
          <w:noProof/>
          <w:sz w:val="24"/>
          <w:szCs w:val="24"/>
          <w:shd w:val="clear" w:color="auto" w:fill="FFFFFF"/>
        </w:rPr>
        <w:t xml:space="preserve">, pero también utilizar servicios en línea con mayor frecuencia. Algunos cambios pueden ser temporales, </w:t>
      </w:r>
      <w:r>
        <w:rPr>
          <w:rFonts w:ascii="Times New Roman" w:hAnsi="Times New Roman"/>
          <w:noProof/>
          <w:sz w:val="24"/>
          <w:szCs w:val="24"/>
        </w:rPr>
        <w:t xml:space="preserve">vinculados a la situación sanitaria </w:t>
      </w:r>
      <w:r>
        <w:rPr>
          <w:rFonts w:ascii="Times New Roman" w:hAnsi="Times New Roman"/>
          <w:noProof/>
          <w:sz w:val="24"/>
          <w:szCs w:val="24"/>
          <w:shd w:val="clear" w:color="auto" w:fill="FFFFFF"/>
        </w:rPr>
        <w:t>(por ejemp</w:t>
      </w:r>
      <w:r>
        <w:rPr>
          <w:rFonts w:ascii="Times New Roman" w:hAnsi="Times New Roman"/>
          <w:noProof/>
          <w:sz w:val="24"/>
          <w:szCs w:val="24"/>
          <w:shd w:val="clear" w:color="auto" w:fill="FFFFFF"/>
        </w:rPr>
        <w:t xml:space="preserve">lo, un menor uso del transporte público), mientras que otros, especialmente aquellos relacionados con la transformación digital (por ejemplo, </w:t>
      </w:r>
      <w:r>
        <w:rPr>
          <w:rFonts w:ascii="Times New Roman" w:hAnsi="Times New Roman"/>
          <w:bCs/>
          <w:noProof/>
          <w:sz w:val="24"/>
          <w:szCs w:val="24"/>
          <w:shd w:val="clear" w:color="auto" w:fill="FFFFFF"/>
        </w:rPr>
        <w:t>el aumento de la compra de alimentos en línea</w:t>
      </w:r>
      <w:r>
        <w:rPr>
          <w:rFonts w:ascii="Times New Roman" w:hAnsi="Times New Roman"/>
          <w:noProof/>
          <w:sz w:val="24"/>
          <w:szCs w:val="24"/>
          <w:shd w:val="clear" w:color="auto" w:fill="FFFFFF"/>
        </w:rPr>
        <w:t xml:space="preserve"> o el aumento del acceso a servicios de transmisión en línea desde ca</w:t>
      </w:r>
      <w:r>
        <w:rPr>
          <w:rFonts w:ascii="Times New Roman" w:hAnsi="Times New Roman"/>
          <w:noProof/>
          <w:sz w:val="24"/>
          <w:szCs w:val="24"/>
          <w:shd w:val="clear" w:color="auto" w:fill="FFFFFF"/>
        </w:rPr>
        <w:t>sa, incluso para eventos culturales y deportivos) podrían volverse más estructurales</w:t>
      </w:r>
      <w:r>
        <w:rPr>
          <w:rStyle w:val="Refdenotaalpie"/>
          <w:rFonts w:ascii="Times New Roman" w:hAnsi="Times New Roman" w:cs="Times New Roman"/>
          <w:noProof/>
          <w:sz w:val="24"/>
          <w:szCs w:val="24"/>
          <w:shd w:val="clear" w:color="auto" w:fill="FFFFFF"/>
        </w:rPr>
        <w:footnoteReference w:id="14"/>
      </w:r>
      <w:r>
        <w:rPr>
          <w:rFonts w:ascii="Times New Roman" w:hAnsi="Times New Roman"/>
          <w:noProof/>
          <w:sz w:val="24"/>
          <w:szCs w:val="24"/>
          <w:shd w:val="clear" w:color="auto" w:fill="FFFFFF"/>
        </w:rPr>
        <w:t>.</w:t>
      </w:r>
      <w:r>
        <w:rPr>
          <w:rFonts w:ascii="Times New Roman" w:hAnsi="Times New Roman"/>
          <w:noProof/>
          <w:sz w:val="24"/>
          <w:szCs w:val="24"/>
        </w:rPr>
        <w:t xml:space="preserve"> </w:t>
      </w:r>
    </w:p>
    <w:p w14:paraId="32EEE2CF"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crisis ha afectado muchos ámbitos de las vidas de los consumidores y ha destacado la gran </w:t>
      </w:r>
      <w:r>
        <w:rPr>
          <w:rFonts w:ascii="Times New Roman" w:hAnsi="Times New Roman"/>
          <w:b/>
          <w:bCs/>
          <w:noProof/>
          <w:sz w:val="24"/>
          <w:szCs w:val="24"/>
        </w:rPr>
        <w:t>importancia de contar con un alto nivel de protección de los consumidores</w:t>
      </w:r>
      <w:r>
        <w:rPr>
          <w:rFonts w:ascii="Times New Roman" w:hAnsi="Times New Roman"/>
          <w:noProof/>
          <w:sz w:val="24"/>
          <w:szCs w:val="24"/>
        </w:rPr>
        <w:t xml:space="preserve"> </w:t>
      </w:r>
      <w:r>
        <w:rPr>
          <w:rFonts w:ascii="Times New Roman" w:hAnsi="Times New Roman"/>
          <w:noProof/>
          <w:sz w:val="24"/>
          <w:szCs w:val="24"/>
        </w:rPr>
        <w:t xml:space="preserve">y una estrecha colaboración entre las autoridades en la UE. AL mismo tiempo, también ha puesto de manifiesto </w:t>
      </w:r>
      <w:r>
        <w:rPr>
          <w:rFonts w:ascii="Times New Roman" w:hAnsi="Times New Roman"/>
          <w:b/>
          <w:bCs/>
          <w:noProof/>
          <w:sz w:val="24"/>
          <w:szCs w:val="24"/>
        </w:rPr>
        <w:t>algunas lagunas</w:t>
      </w:r>
      <w:r>
        <w:rPr>
          <w:rFonts w:ascii="Times New Roman" w:hAnsi="Times New Roman"/>
          <w:noProof/>
          <w:sz w:val="24"/>
          <w:szCs w:val="24"/>
        </w:rPr>
        <w:t xml:space="preserve"> en el marco de protección de los consumidores de la UE. </w:t>
      </w:r>
    </w:p>
    <w:p w14:paraId="117FE8B5" w14:textId="77777777" w:rsidR="00450244" w:rsidRDefault="00EB0B0F">
      <w:pPr>
        <w:spacing w:after="240" w:line="240" w:lineRule="auto"/>
        <w:jc w:val="both"/>
        <w:rPr>
          <w:rFonts w:ascii="Times New Roman" w:hAnsi="Times New Roman" w:cs="Times New Roman"/>
          <w:i/>
          <w:iCs/>
          <w:noProof/>
          <w:sz w:val="24"/>
          <w:szCs w:val="24"/>
        </w:rPr>
      </w:pPr>
      <w:r>
        <w:rPr>
          <w:rFonts w:ascii="Times New Roman" w:hAnsi="Times New Roman"/>
          <w:noProof/>
          <w:sz w:val="24"/>
          <w:szCs w:val="24"/>
        </w:rPr>
        <w:t xml:space="preserve">Los consumidores de la UE esperan, con razón, que </w:t>
      </w:r>
      <w:r>
        <w:rPr>
          <w:rFonts w:ascii="Times New Roman" w:hAnsi="Times New Roman"/>
          <w:b/>
          <w:noProof/>
          <w:sz w:val="24"/>
          <w:szCs w:val="24"/>
        </w:rPr>
        <w:t>las empresas de transpor</w:t>
      </w:r>
      <w:r>
        <w:rPr>
          <w:rFonts w:ascii="Times New Roman" w:hAnsi="Times New Roman"/>
          <w:b/>
          <w:noProof/>
          <w:sz w:val="24"/>
          <w:szCs w:val="24"/>
        </w:rPr>
        <w:t>te</w:t>
      </w:r>
      <w:r>
        <w:rPr>
          <w:rFonts w:ascii="Times New Roman" w:hAnsi="Times New Roman"/>
          <w:noProof/>
          <w:sz w:val="24"/>
          <w:szCs w:val="24"/>
        </w:rPr>
        <w:t xml:space="preserve"> </w:t>
      </w:r>
      <w:r>
        <w:rPr>
          <w:rFonts w:ascii="Times New Roman" w:hAnsi="Times New Roman"/>
          <w:b/>
          <w:noProof/>
          <w:sz w:val="24"/>
          <w:szCs w:val="24"/>
        </w:rPr>
        <w:t>y los operadores turísticos</w:t>
      </w:r>
      <w:r>
        <w:rPr>
          <w:rFonts w:ascii="Times New Roman" w:hAnsi="Times New Roman"/>
          <w:noProof/>
          <w:sz w:val="24"/>
          <w:szCs w:val="24"/>
        </w:rPr>
        <w:t xml:space="preserve"> respeten su derecho a un reembolso completo de los pagos anticipados. Sin embargo, los consumidores se enfrentan a dificultades considerables</w:t>
      </w:r>
      <w:r>
        <w:rPr>
          <w:noProof/>
        </w:rPr>
        <w:t xml:space="preserve"> </w:t>
      </w:r>
      <w:r>
        <w:rPr>
          <w:rFonts w:ascii="Times New Roman" w:hAnsi="Times New Roman"/>
          <w:noProof/>
          <w:sz w:val="24"/>
          <w:szCs w:val="24"/>
        </w:rPr>
        <w:t xml:space="preserve">para hacer valer este derecho debido a los problemas de liquidez del sector y a la </w:t>
      </w:r>
      <w:r>
        <w:rPr>
          <w:rFonts w:ascii="Times New Roman" w:hAnsi="Times New Roman"/>
          <w:noProof/>
          <w:sz w:val="24"/>
          <w:szCs w:val="24"/>
        </w:rPr>
        <w:t>suspensión casi completa del transporte de pasajeros durante la pandemia. Como respuesta, la Comisión y los Estados miembros han adoptado medidas para garantizar que se protejan los derechos de los consumidores, promoviendo asimismo soluciones prácticas, c</w:t>
      </w:r>
      <w:r>
        <w:rPr>
          <w:rFonts w:ascii="Times New Roman" w:hAnsi="Times New Roman"/>
          <w:noProof/>
          <w:sz w:val="24"/>
          <w:szCs w:val="24"/>
        </w:rPr>
        <w:t xml:space="preserve">on pleno respeto de las normas </w:t>
      </w:r>
      <w:r>
        <w:rPr>
          <w:rFonts w:ascii="Times New Roman" w:hAnsi="Times New Roman"/>
          <w:noProof/>
          <w:sz w:val="24"/>
          <w:szCs w:val="24"/>
        </w:rPr>
        <w:lastRenderedPageBreak/>
        <w:t>aplicables</w:t>
      </w:r>
      <w:r>
        <w:rPr>
          <w:rFonts w:ascii="Times New Roman" w:hAnsi="Times New Roman" w:cs="Times New Roman"/>
          <w:noProof/>
          <w:sz w:val="24"/>
          <w:szCs w:val="24"/>
          <w:vertAlign w:val="superscript"/>
          <w:lang w:val="en-GB" w:eastAsia="en-GB"/>
        </w:rPr>
        <w:footnoteReference w:id="15"/>
      </w:r>
      <w:r>
        <w:rPr>
          <w:rFonts w:ascii="Times New Roman" w:hAnsi="Times New Roman"/>
          <w:noProof/>
          <w:sz w:val="24"/>
          <w:szCs w:val="24"/>
        </w:rPr>
        <w:t xml:space="preserve">. La experiencia de la pandemia y de acontecimientos previos, como la quiebra de Thomas Cook en 2019, exige que se analice en mayor profundidad si el marco regulador actual para viajes combinados, incluso en </w:t>
      </w:r>
      <w:r>
        <w:rPr>
          <w:rFonts w:ascii="Times New Roman" w:hAnsi="Times New Roman"/>
          <w:noProof/>
          <w:sz w:val="24"/>
          <w:szCs w:val="24"/>
        </w:rPr>
        <w:t>relación con la protección contra la insolvencia, sigue estando completamente a la altura para garantizar una protección sólida y exhaustiva de los consumidores en todo momento, teniendo asimismo en cuenta los avances en el ámbito de los derechos de los pa</w:t>
      </w:r>
      <w:r>
        <w:rPr>
          <w:rFonts w:ascii="Times New Roman" w:hAnsi="Times New Roman"/>
          <w:noProof/>
          <w:sz w:val="24"/>
          <w:szCs w:val="24"/>
        </w:rPr>
        <w:t>sajeros</w:t>
      </w:r>
      <w:r>
        <w:rPr>
          <w:rFonts w:ascii="Times New Roman" w:hAnsi="Times New Roman" w:cs="Times New Roman"/>
          <w:noProof/>
          <w:sz w:val="24"/>
          <w:szCs w:val="24"/>
          <w:vertAlign w:val="superscript"/>
          <w:lang w:val="en-GB"/>
        </w:rPr>
        <w:footnoteReference w:id="16"/>
      </w:r>
      <w:r>
        <w:rPr>
          <w:rFonts w:ascii="Times New Roman" w:hAnsi="Times New Roman"/>
          <w:noProof/>
          <w:sz w:val="24"/>
          <w:szCs w:val="24"/>
        </w:rPr>
        <w:t>.</w:t>
      </w:r>
    </w:p>
    <w:p w14:paraId="730F227F"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Otro motivo de preocupación que ha salido a la luz durante la pandemia es el aumento de </w:t>
      </w:r>
      <w:r>
        <w:rPr>
          <w:rFonts w:ascii="Times New Roman" w:hAnsi="Times New Roman"/>
          <w:b/>
          <w:bCs/>
          <w:noProof/>
          <w:sz w:val="24"/>
          <w:szCs w:val="24"/>
        </w:rPr>
        <w:t xml:space="preserve">las estafas a los consumidores, las técnicas de comercialización engañosas y el fraude en las compras en línea, </w:t>
      </w:r>
      <w:r>
        <w:rPr>
          <w:rFonts w:ascii="Times New Roman" w:hAnsi="Times New Roman"/>
          <w:bCs/>
          <w:noProof/>
          <w:sz w:val="24"/>
          <w:szCs w:val="24"/>
        </w:rPr>
        <w:t>de</w:t>
      </w:r>
      <w:r>
        <w:rPr>
          <w:rFonts w:ascii="Times New Roman" w:hAnsi="Times New Roman"/>
          <w:noProof/>
          <w:sz w:val="24"/>
          <w:szCs w:val="24"/>
        </w:rPr>
        <w:t xml:space="preserve"> los que han sido y siguen siendo víctima un número creciente de consumidores</w:t>
      </w:r>
      <w:r>
        <w:rPr>
          <w:rFonts w:ascii="Times New Roman" w:hAnsi="Times New Roman" w:cs="Times New Roman"/>
          <w:noProof/>
          <w:sz w:val="24"/>
          <w:szCs w:val="24"/>
          <w:vertAlign w:val="superscript"/>
          <w:lang w:val="en-GB"/>
        </w:rPr>
        <w:footnoteReference w:id="17"/>
      </w:r>
      <w:r>
        <w:rPr>
          <w:rFonts w:ascii="Times New Roman" w:hAnsi="Times New Roman"/>
          <w:noProof/>
          <w:sz w:val="24"/>
          <w:szCs w:val="24"/>
        </w:rPr>
        <w:t>. La lucha contra tales prácticas comerciales deshonestas ha re</w:t>
      </w:r>
      <w:r>
        <w:rPr>
          <w:rFonts w:ascii="Times New Roman" w:hAnsi="Times New Roman"/>
          <w:noProof/>
          <w:sz w:val="24"/>
          <w:szCs w:val="24"/>
        </w:rPr>
        <w:t>querido una estrecha colaboración entre la Comisión y las autoridades nacionales competentes. Teniendo en cuenta su papel central para facilitar el comercio en línea, la Comisión también ha intensificado sus contactos con las principales plataformas en lín</w:t>
      </w:r>
      <w:r>
        <w:rPr>
          <w:rFonts w:ascii="Times New Roman" w:hAnsi="Times New Roman"/>
          <w:noProof/>
          <w:sz w:val="24"/>
          <w:szCs w:val="24"/>
        </w:rPr>
        <w:t>ea, quienes adoptaron medidas eficaces para prevenir y reaccionar al contenido ilícito pertinente</w:t>
      </w:r>
      <w:r>
        <w:rPr>
          <w:rFonts w:ascii="Times New Roman" w:hAnsi="Times New Roman" w:cs="Times New Roman"/>
          <w:noProof/>
          <w:sz w:val="24"/>
          <w:szCs w:val="24"/>
          <w:vertAlign w:val="superscript"/>
          <w:lang w:val="en-GB"/>
        </w:rPr>
        <w:footnoteReference w:id="18"/>
      </w:r>
      <w:r>
        <w:rPr>
          <w:rFonts w:ascii="Times New Roman" w:hAnsi="Times New Roman"/>
          <w:noProof/>
          <w:sz w:val="24"/>
          <w:szCs w:val="24"/>
        </w:rPr>
        <w:t>. A fin de mejorar la resiliencia a las prácticas de daños masivos que suponen una amenaza para el interés público, las autoridades competentes deben mantene</w:t>
      </w:r>
      <w:r>
        <w:rPr>
          <w:rFonts w:ascii="Times New Roman" w:hAnsi="Times New Roman"/>
          <w:noProof/>
          <w:sz w:val="24"/>
          <w:szCs w:val="24"/>
        </w:rPr>
        <w:t>r una cooperación con las partes interesadas clave, tales como las plataformas, las asociaciones empresariales, los anunciantes y las organizaciones de consumidores. Al mismo tiempo, existe una necesidad de vigilar de cerca las estafas en línea y de aument</w:t>
      </w:r>
      <w:r>
        <w:rPr>
          <w:rFonts w:ascii="Times New Roman" w:hAnsi="Times New Roman"/>
          <w:noProof/>
          <w:sz w:val="24"/>
          <w:szCs w:val="24"/>
        </w:rPr>
        <w:t xml:space="preserve">ar aún más la cooperación con otras redes importantes, entre ellas las autoridades policiales, los registros de dominios y la Red Internacional de Cumplimiento Normativo y Protección de los Consumidores (ICPEN). </w:t>
      </w:r>
    </w:p>
    <w:p w14:paraId="26AB4B90" w14:textId="77777777" w:rsidR="00450244" w:rsidRDefault="00EB0B0F">
      <w:pPr>
        <w:spacing w:after="240" w:line="240" w:lineRule="auto"/>
        <w:jc w:val="both"/>
        <w:rPr>
          <w:rFonts w:ascii="Times New Roman" w:hAnsi="Times New Roman"/>
          <w:noProof/>
          <w:sz w:val="24"/>
          <w:szCs w:val="24"/>
        </w:rPr>
      </w:pPr>
      <w:r>
        <w:rPr>
          <w:rFonts w:ascii="Times New Roman" w:hAnsi="Times New Roman"/>
          <w:noProof/>
          <w:sz w:val="24"/>
          <w:szCs w:val="24"/>
        </w:rPr>
        <w:t>Los cambios de los patrones de consumo plan</w:t>
      </w:r>
      <w:r>
        <w:rPr>
          <w:rFonts w:ascii="Times New Roman" w:hAnsi="Times New Roman"/>
          <w:noProof/>
          <w:sz w:val="24"/>
          <w:szCs w:val="24"/>
        </w:rPr>
        <w:t>tean nuevos desafíos. Han generado un aumento de los</w:t>
      </w:r>
      <w:r>
        <w:rPr>
          <w:rFonts w:ascii="Times New Roman" w:hAnsi="Times New Roman"/>
          <w:noProof/>
          <w:sz w:val="24"/>
        </w:rPr>
        <w:t xml:space="preserve"> </w:t>
      </w:r>
      <w:r>
        <w:rPr>
          <w:rFonts w:ascii="Times New Roman" w:hAnsi="Times New Roman"/>
          <w:b/>
          <w:noProof/>
          <w:sz w:val="24"/>
        </w:rPr>
        <w:t>residuos de envases de un solo uso</w:t>
      </w:r>
      <w:r>
        <w:rPr>
          <w:rFonts w:ascii="Times New Roman" w:hAnsi="Times New Roman"/>
          <w:noProof/>
          <w:sz w:val="24"/>
          <w:szCs w:val="24"/>
        </w:rPr>
        <w:t xml:space="preserve"> y de equipos de protección personal de plástico por parte de los consumidores, a lo cual la Comisión dio una primera respuesta política sin demora en abril de 2020</w:t>
      </w:r>
      <w:r>
        <w:rPr>
          <w:rFonts w:ascii="Times New Roman" w:eastAsia="Times New Roman" w:hAnsi="Times New Roman" w:cs="Times New Roman"/>
          <w:noProof/>
          <w:sz w:val="24"/>
          <w:szCs w:val="24"/>
          <w:vertAlign w:val="superscript"/>
          <w:lang w:val="en-GB"/>
        </w:rPr>
        <w:footnoteReference w:id="19"/>
      </w:r>
      <w:r>
        <w:rPr>
          <w:rFonts w:ascii="Times New Roman" w:hAnsi="Times New Roman"/>
          <w:noProof/>
          <w:sz w:val="24"/>
          <w:szCs w:val="24"/>
        </w:rPr>
        <w:t>. A</w:t>
      </w:r>
      <w:r>
        <w:rPr>
          <w:rFonts w:ascii="Times New Roman" w:hAnsi="Times New Roman"/>
          <w:noProof/>
          <w:sz w:val="24"/>
          <w:szCs w:val="24"/>
        </w:rPr>
        <w:t>simismo, la pandemia ha revelado el riesgo de que ciertas categorías de consumidores se queden rezagadas, especialmente aquellas que carecen de los medios o las capacidades para participar de forma activa en un mercado en rápida evolución, sobre todo en lí</w:t>
      </w:r>
      <w:r>
        <w:rPr>
          <w:rFonts w:ascii="Times New Roman" w:hAnsi="Times New Roman"/>
          <w:noProof/>
          <w:sz w:val="24"/>
          <w:szCs w:val="24"/>
        </w:rPr>
        <w:t xml:space="preserve">nea. Esto requiere que se preste </w:t>
      </w:r>
      <w:r>
        <w:rPr>
          <w:rFonts w:ascii="Times New Roman" w:hAnsi="Times New Roman"/>
          <w:b/>
          <w:bCs/>
          <w:noProof/>
          <w:sz w:val="24"/>
          <w:szCs w:val="24"/>
        </w:rPr>
        <w:t>aún más atención a las iniciativas para apoyar la integración, la inclusión, la sensibilización y la educación de los consumidores</w:t>
      </w:r>
      <w:r>
        <w:rPr>
          <w:rFonts w:ascii="Times New Roman" w:hAnsi="Times New Roman"/>
          <w:noProof/>
          <w:sz w:val="24"/>
          <w:szCs w:val="24"/>
        </w:rPr>
        <w:t>.</w:t>
      </w:r>
    </w:p>
    <w:p w14:paraId="147E9CAC"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Será importante comprender la manera en que el comportamiento de los consumidores se ajusta</w:t>
      </w:r>
      <w:r>
        <w:rPr>
          <w:rFonts w:ascii="Times New Roman" w:hAnsi="Times New Roman"/>
          <w:noProof/>
          <w:sz w:val="24"/>
          <w:szCs w:val="24"/>
        </w:rPr>
        <w:t xml:space="preserve"> a largo plazo después de la pandemia, desarrollar la </w:t>
      </w:r>
      <w:r>
        <w:rPr>
          <w:rFonts w:ascii="Times New Roman" w:hAnsi="Times New Roman"/>
          <w:b/>
          <w:bCs/>
          <w:noProof/>
          <w:sz w:val="24"/>
          <w:szCs w:val="24"/>
        </w:rPr>
        <w:t>prospectiva</w:t>
      </w:r>
      <w:r>
        <w:rPr>
          <w:rFonts w:ascii="Times New Roman" w:hAnsi="Times New Roman" w:cs="Times New Roman"/>
          <w:noProof/>
          <w:sz w:val="24"/>
          <w:szCs w:val="24"/>
          <w:vertAlign w:val="superscript"/>
          <w:lang w:val="en-GB"/>
        </w:rPr>
        <w:footnoteReference w:id="20"/>
      </w:r>
      <w:r>
        <w:rPr>
          <w:rFonts w:ascii="Times New Roman" w:hAnsi="Times New Roman"/>
          <w:bCs/>
          <w:noProof/>
          <w:sz w:val="24"/>
          <w:szCs w:val="24"/>
        </w:rPr>
        <w:t xml:space="preserve"> necesaria </w:t>
      </w:r>
      <w:r>
        <w:rPr>
          <w:rFonts w:ascii="Times New Roman" w:hAnsi="Times New Roman"/>
          <w:b/>
          <w:bCs/>
          <w:noProof/>
          <w:sz w:val="24"/>
          <w:szCs w:val="24"/>
        </w:rPr>
        <w:t xml:space="preserve">para que </w:t>
      </w:r>
      <w:r>
        <w:rPr>
          <w:rFonts w:ascii="Times New Roman" w:hAnsi="Times New Roman"/>
          <w:b/>
          <w:bCs/>
          <w:noProof/>
          <w:sz w:val="24"/>
          <w:szCs w:val="24"/>
        </w:rPr>
        <w:lastRenderedPageBreak/>
        <w:t>sirva de base para futuras medidas políticas</w:t>
      </w:r>
      <w:r>
        <w:rPr>
          <w:rFonts w:ascii="Times New Roman" w:hAnsi="Times New Roman"/>
          <w:bCs/>
          <w:noProof/>
          <w:sz w:val="24"/>
          <w:szCs w:val="24"/>
        </w:rPr>
        <w:t xml:space="preserve"> y tener en cuenta los datos y las pruebas de la investigación sobre el comportamiento de los consumidores a la hora de evalu</w:t>
      </w:r>
      <w:r>
        <w:rPr>
          <w:rFonts w:ascii="Times New Roman" w:hAnsi="Times New Roman"/>
          <w:bCs/>
          <w:noProof/>
          <w:sz w:val="24"/>
          <w:szCs w:val="24"/>
        </w:rPr>
        <w:t>ar la resiliencia de la UE a futuras crisis</w:t>
      </w:r>
      <w:r>
        <w:rPr>
          <w:rFonts w:ascii="Times New Roman" w:hAnsi="Times New Roman"/>
          <w:noProof/>
          <w:sz w:val="24"/>
          <w:szCs w:val="24"/>
        </w:rPr>
        <w:t>.</w:t>
      </w:r>
    </w:p>
    <w:p w14:paraId="584D1F4A" w14:textId="77777777" w:rsidR="00450244" w:rsidRDefault="00EB0B0F">
      <w:pPr>
        <w:numPr>
          <w:ilvl w:val="3"/>
          <w:numId w:val="4"/>
        </w:numPr>
        <w:pBdr>
          <w:top w:val="single" w:sz="4" w:space="1" w:color="auto"/>
          <w:left w:val="single" w:sz="4" w:space="4" w:color="auto"/>
          <w:bottom w:val="single" w:sz="4" w:space="6" w:color="auto"/>
          <w:right w:val="single" w:sz="4" w:space="4" w:color="auto"/>
        </w:pBdr>
        <w:spacing w:after="240" w:line="240" w:lineRule="auto"/>
        <w:ind w:left="709" w:hanging="357"/>
        <w:jc w:val="both"/>
        <w:rPr>
          <w:rFonts w:ascii="Times New Roman" w:hAnsi="Times New Roman" w:cs="Times New Roman"/>
          <w:noProof/>
          <w:sz w:val="24"/>
          <w:szCs w:val="24"/>
        </w:rPr>
      </w:pPr>
      <w:r>
        <w:rPr>
          <w:rFonts w:ascii="Times New Roman" w:hAnsi="Times New Roman"/>
          <w:b/>
          <w:bCs/>
          <w:noProof/>
          <w:sz w:val="24"/>
          <w:szCs w:val="24"/>
        </w:rPr>
        <w:t xml:space="preserve">Acción 1: </w:t>
      </w:r>
      <w:r>
        <w:rPr>
          <w:rFonts w:ascii="Times New Roman" w:hAnsi="Times New Roman"/>
          <w:noProof/>
          <w:sz w:val="24"/>
          <w:szCs w:val="24"/>
        </w:rPr>
        <w:t xml:space="preserve">Para 2022, la Comisión prevé </w:t>
      </w:r>
      <w:r>
        <w:rPr>
          <w:rFonts w:ascii="Times New Roman" w:hAnsi="Times New Roman"/>
          <w:noProof/>
          <w:sz w:val="24"/>
        </w:rPr>
        <w:t xml:space="preserve">analizar </w:t>
      </w:r>
      <w:r>
        <w:rPr>
          <w:rFonts w:ascii="Times New Roman" w:hAnsi="Times New Roman"/>
          <w:b/>
          <w:bCs/>
          <w:noProof/>
          <w:sz w:val="24"/>
          <w:szCs w:val="24"/>
        </w:rPr>
        <w:t>la medida en que la Directiva sobre los viajes combinados sigue siendo adecuada</w:t>
      </w:r>
      <w:r>
        <w:rPr>
          <w:rFonts w:ascii="Times New Roman" w:hAnsi="Times New Roman"/>
          <w:noProof/>
          <w:sz w:val="24"/>
          <w:szCs w:val="24"/>
        </w:rPr>
        <w:t xml:space="preserve"> a la luz de las crisis recientes, sobre la base del informe de 2021 sobre su aplica</w:t>
      </w:r>
      <w:r>
        <w:rPr>
          <w:rFonts w:ascii="Times New Roman" w:hAnsi="Times New Roman"/>
          <w:noProof/>
          <w:sz w:val="24"/>
          <w:szCs w:val="24"/>
        </w:rPr>
        <w:t>ción.</w:t>
      </w:r>
    </w:p>
    <w:p w14:paraId="21B64B8D" w14:textId="77777777" w:rsidR="00450244" w:rsidRDefault="00EB0B0F">
      <w:pPr>
        <w:numPr>
          <w:ilvl w:val="3"/>
          <w:numId w:val="4"/>
        </w:numPr>
        <w:pBdr>
          <w:top w:val="single" w:sz="4" w:space="1" w:color="auto"/>
          <w:left w:val="single" w:sz="4" w:space="4" w:color="auto"/>
          <w:bottom w:val="single" w:sz="4" w:space="6" w:color="auto"/>
          <w:right w:val="single" w:sz="4" w:space="4" w:color="auto"/>
        </w:pBdr>
        <w:spacing w:after="240" w:line="240" w:lineRule="auto"/>
        <w:ind w:left="709" w:hanging="357"/>
        <w:jc w:val="both"/>
        <w:rPr>
          <w:rFonts w:ascii="Times New Roman" w:hAnsi="Times New Roman" w:cs="Times New Roman"/>
          <w:noProof/>
          <w:sz w:val="24"/>
          <w:szCs w:val="24"/>
        </w:rPr>
      </w:pPr>
      <w:r>
        <w:rPr>
          <w:rFonts w:ascii="Times New Roman" w:hAnsi="Times New Roman"/>
          <w:b/>
          <w:bCs/>
          <w:noProof/>
          <w:sz w:val="24"/>
          <w:szCs w:val="24"/>
        </w:rPr>
        <w:t>Acción 2:</w:t>
      </w:r>
      <w:r>
        <w:rPr>
          <w:rFonts w:ascii="Times New Roman" w:hAnsi="Times New Roman"/>
          <w:noProof/>
          <w:sz w:val="24"/>
          <w:szCs w:val="24"/>
        </w:rPr>
        <w:t xml:space="preserve"> Para 2022, la Comisión prevé </w:t>
      </w:r>
      <w:r>
        <w:rPr>
          <w:rFonts w:ascii="Times New Roman" w:hAnsi="Times New Roman"/>
          <w:noProof/>
          <w:color w:val="000000"/>
          <w:sz w:val="24"/>
          <w:szCs w:val="24"/>
        </w:rPr>
        <w:t>realizar actividades de prospectiva para examinar</w:t>
      </w:r>
      <w:r>
        <w:rPr>
          <w:rFonts w:ascii="Times New Roman" w:hAnsi="Times New Roman"/>
          <w:b/>
          <w:bCs/>
          <w:noProof/>
          <w:sz w:val="24"/>
          <w:szCs w:val="24"/>
        </w:rPr>
        <w:t xml:space="preserve"> el impacto a más largo plazo de la COVID-19</w:t>
      </w:r>
      <w:r>
        <w:rPr>
          <w:rFonts w:ascii="Times New Roman" w:hAnsi="Times New Roman"/>
          <w:noProof/>
          <w:sz w:val="24"/>
          <w:szCs w:val="24"/>
        </w:rPr>
        <w:t xml:space="preserve"> sobre los patrones de consumo de las personas en la UE, como base para futuras iniciativas políticas.</w:t>
      </w:r>
    </w:p>
    <w:p w14:paraId="697D28C0" w14:textId="77777777" w:rsidR="00450244" w:rsidRDefault="00EB0B0F">
      <w:pPr>
        <w:numPr>
          <w:ilvl w:val="3"/>
          <w:numId w:val="4"/>
        </w:numPr>
        <w:pBdr>
          <w:top w:val="single" w:sz="4" w:space="1" w:color="auto"/>
          <w:left w:val="single" w:sz="4" w:space="4" w:color="auto"/>
          <w:bottom w:val="single" w:sz="4" w:space="6" w:color="auto"/>
          <w:right w:val="single" w:sz="4" w:space="4" w:color="auto"/>
        </w:pBdr>
        <w:spacing w:after="240" w:line="240" w:lineRule="auto"/>
        <w:ind w:left="709" w:hanging="357"/>
        <w:jc w:val="both"/>
        <w:rPr>
          <w:rFonts w:ascii="Times New Roman" w:hAnsi="Times New Roman" w:cs="Times New Roman"/>
          <w:noProof/>
          <w:sz w:val="24"/>
          <w:szCs w:val="24"/>
        </w:rPr>
      </w:pPr>
      <w:r>
        <w:rPr>
          <w:rFonts w:ascii="Times New Roman" w:hAnsi="Times New Roman"/>
          <w:b/>
          <w:noProof/>
          <w:sz w:val="24"/>
          <w:szCs w:val="24"/>
        </w:rPr>
        <w:t>Acción 3:</w:t>
      </w:r>
      <w:r>
        <w:rPr>
          <w:rFonts w:ascii="Times New Roman" w:hAnsi="Times New Roman"/>
          <w:noProof/>
          <w:sz w:val="24"/>
          <w:szCs w:val="24"/>
        </w:rPr>
        <w:t xml:space="preserve"> la Comisión apoyará y facilitará la colaboración entre la Red de Cooperación para la Protección de los Consumidores y otras redes y partes interesadas, a fin de abordar </w:t>
      </w:r>
      <w:r>
        <w:rPr>
          <w:rFonts w:ascii="Times New Roman" w:hAnsi="Times New Roman"/>
          <w:b/>
          <w:bCs/>
          <w:noProof/>
          <w:sz w:val="24"/>
          <w:szCs w:val="24"/>
        </w:rPr>
        <w:t>las estafas a los consumidores, las prácticas de comercialización desleales y el fraud</w:t>
      </w:r>
      <w:r>
        <w:rPr>
          <w:rFonts w:ascii="Times New Roman" w:hAnsi="Times New Roman"/>
          <w:b/>
          <w:bCs/>
          <w:noProof/>
          <w:sz w:val="24"/>
          <w:szCs w:val="24"/>
        </w:rPr>
        <w:t>e</w:t>
      </w:r>
      <w:r>
        <w:rPr>
          <w:rFonts w:ascii="Times New Roman" w:hAnsi="Times New Roman" w:cs="Times New Roman"/>
          <w:noProof/>
          <w:sz w:val="24"/>
          <w:szCs w:val="24"/>
          <w:vertAlign w:val="superscript"/>
        </w:rPr>
        <w:footnoteReference w:id="21"/>
      </w:r>
      <w:r>
        <w:rPr>
          <w:rFonts w:ascii="Times New Roman" w:hAnsi="Times New Roman"/>
          <w:noProof/>
          <w:sz w:val="24"/>
          <w:szCs w:val="24"/>
        </w:rPr>
        <w:t>.</w:t>
      </w:r>
    </w:p>
    <w:p w14:paraId="0191475D" w14:textId="77777777" w:rsidR="00450244" w:rsidRDefault="00EB0B0F">
      <w:pPr>
        <w:keepNext/>
        <w:numPr>
          <w:ilvl w:val="0"/>
          <w:numId w:val="1"/>
        </w:numPr>
        <w:spacing w:after="240" w:line="240" w:lineRule="auto"/>
        <w:ind w:left="714" w:hanging="357"/>
        <w:jc w:val="both"/>
        <w:rPr>
          <w:rFonts w:ascii="Times New Roman Bold" w:hAnsi="Times New Roman Bold" w:cs="Times New Roman"/>
          <w:b/>
          <w:bCs/>
          <w:smallCaps/>
          <w:noProof/>
          <w:sz w:val="28"/>
          <w:szCs w:val="28"/>
        </w:rPr>
      </w:pPr>
      <w:r>
        <w:rPr>
          <w:rFonts w:ascii="Times New Roman Bold" w:hAnsi="Times New Roman Bold"/>
          <w:b/>
          <w:bCs/>
          <w:smallCaps/>
          <w:noProof/>
          <w:sz w:val="28"/>
          <w:szCs w:val="28"/>
        </w:rPr>
        <w:t xml:space="preserve">Ámbitos prioritarios principales </w:t>
      </w:r>
    </w:p>
    <w:p w14:paraId="3D6B66B2" w14:textId="77777777" w:rsidR="00450244" w:rsidRDefault="00EB0B0F">
      <w:pPr>
        <w:keepNext/>
        <w:numPr>
          <w:ilvl w:val="1"/>
          <w:numId w:val="1"/>
        </w:numP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 Transición ecológica </w:t>
      </w:r>
    </w:p>
    <w:p w14:paraId="5C4F7F13" w14:textId="77777777" w:rsidR="00450244" w:rsidRDefault="00450244">
      <w:pPr>
        <w:keepNext/>
        <w:spacing w:after="240" w:line="240" w:lineRule="auto"/>
        <w:contextualSpacing/>
        <w:jc w:val="both"/>
        <w:rPr>
          <w:rFonts w:ascii="Times New Roman" w:hAnsi="Times New Roman" w:cs="Times New Roman"/>
          <w:b/>
          <w:bCs/>
          <w:noProof/>
          <w:sz w:val="24"/>
          <w:szCs w:val="24"/>
          <w:lang w:val="en-GB"/>
        </w:rPr>
      </w:pPr>
    </w:p>
    <w:p w14:paraId="70CADAFC" w14:textId="77777777" w:rsidR="00450244" w:rsidRDefault="00EB0B0F">
      <w:pPr>
        <w:pBdr>
          <w:top w:val="single" w:sz="4" w:space="1" w:color="auto"/>
          <w:left w:val="single" w:sz="4" w:space="4" w:color="auto"/>
          <w:bottom w:val="single" w:sz="4" w:space="6" w:color="auto"/>
          <w:right w:val="single" w:sz="4" w:space="4" w:color="auto"/>
        </w:pBdr>
        <w:spacing w:before="240"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Ejemplo: Las repercusiones ambientales negativas y la obsolescencia temprana</w:t>
      </w:r>
      <w:r>
        <w:rPr>
          <w:rStyle w:val="Refdenotaalpie"/>
          <w:rFonts w:ascii="Times New Roman" w:hAnsi="Times New Roman" w:cs="Times New Roman"/>
          <w:i/>
          <w:iCs/>
          <w:noProof/>
          <w:sz w:val="24"/>
          <w:szCs w:val="24"/>
          <w:lang w:val="en-GB"/>
        </w:rPr>
        <w:footnoteReference w:id="22"/>
      </w:r>
      <w:r>
        <w:rPr>
          <w:rFonts w:ascii="Times New Roman" w:hAnsi="Times New Roman"/>
          <w:i/>
          <w:iCs/>
          <w:noProof/>
          <w:sz w:val="24"/>
          <w:szCs w:val="24"/>
        </w:rPr>
        <w:t xml:space="preserve"> constituyen una preocupación creciente para los consumidores de la UE, quienes a menudo se quejan de que los bienes adquiridos no duran mucho y se producen en condiciones perjudiciales para el medioambiente; el 85 % acogería con satisfacción que se facili</w:t>
      </w:r>
      <w:r>
        <w:rPr>
          <w:rFonts w:ascii="Times New Roman" w:hAnsi="Times New Roman"/>
          <w:i/>
          <w:iCs/>
          <w:noProof/>
          <w:sz w:val="24"/>
          <w:szCs w:val="24"/>
        </w:rPr>
        <w:t>tara mejor información sobre la durabilidad de un bien a la hora de decidir si hacer una compra. Estudios realizados demuestran que cuando los consumidores reciben tal información, las ventas de las versiones más duraderas pueden casi triplicarse; los cons</w:t>
      </w:r>
      <w:r>
        <w:rPr>
          <w:rFonts w:ascii="Times New Roman" w:hAnsi="Times New Roman"/>
          <w:i/>
          <w:iCs/>
          <w:noProof/>
          <w:sz w:val="24"/>
          <w:szCs w:val="24"/>
        </w:rPr>
        <w:t>umidores incluso están dispuestos a pagar más por los productos más duraderos</w:t>
      </w:r>
      <w:r>
        <w:rPr>
          <w:rFonts w:ascii="Times New Roman" w:hAnsi="Times New Roman" w:cs="Times New Roman"/>
          <w:i/>
          <w:iCs/>
          <w:noProof/>
          <w:sz w:val="24"/>
          <w:szCs w:val="24"/>
          <w:vertAlign w:val="superscript"/>
          <w:lang w:val="en-GB"/>
        </w:rPr>
        <w:footnoteReference w:id="23"/>
      </w:r>
      <w:r>
        <w:rPr>
          <w:rFonts w:ascii="Times New Roman" w:hAnsi="Times New Roman"/>
          <w:i/>
          <w:iCs/>
          <w:noProof/>
          <w:sz w:val="24"/>
          <w:szCs w:val="24"/>
        </w:rPr>
        <w:t xml:space="preserve">. </w:t>
      </w:r>
    </w:p>
    <w:p w14:paraId="313FE2A5"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Los consumidores en toda Europa muestran un creciente </w:t>
      </w:r>
      <w:r>
        <w:rPr>
          <w:rFonts w:ascii="Times New Roman" w:hAnsi="Times New Roman"/>
          <w:b/>
          <w:bCs/>
          <w:noProof/>
          <w:sz w:val="24"/>
          <w:szCs w:val="24"/>
        </w:rPr>
        <w:t>interés en contribuir</w:t>
      </w:r>
      <w:r>
        <w:rPr>
          <w:rFonts w:ascii="Times New Roman" w:hAnsi="Times New Roman"/>
          <w:noProof/>
          <w:sz w:val="24"/>
          <w:szCs w:val="24"/>
        </w:rPr>
        <w:t xml:space="preserve"> </w:t>
      </w:r>
      <w:r>
        <w:rPr>
          <w:rFonts w:ascii="Times New Roman" w:hAnsi="Times New Roman"/>
          <w:b/>
          <w:bCs/>
          <w:noProof/>
          <w:sz w:val="24"/>
          <w:szCs w:val="24"/>
        </w:rPr>
        <w:t xml:space="preserve">personalmente </w:t>
      </w:r>
      <w:r>
        <w:rPr>
          <w:rFonts w:ascii="Times New Roman" w:hAnsi="Times New Roman"/>
          <w:noProof/>
          <w:sz w:val="24"/>
          <w:szCs w:val="24"/>
        </w:rPr>
        <w:t xml:space="preserve">a la consecución de la neutralidad climática, a la conservación de los </w:t>
      </w:r>
      <w:r>
        <w:rPr>
          <w:rFonts w:ascii="Times New Roman" w:hAnsi="Times New Roman"/>
          <w:noProof/>
          <w:sz w:val="24"/>
          <w:szCs w:val="24"/>
        </w:rPr>
        <w:t>recursos naturales y la biodiversidad y a la reducción de la contaminación del agua, el aire y el suelo</w:t>
      </w:r>
      <w:r>
        <w:rPr>
          <w:rFonts w:ascii="Times New Roman" w:hAnsi="Times New Roman" w:cs="Times New Roman"/>
          <w:noProof/>
          <w:sz w:val="24"/>
          <w:szCs w:val="24"/>
          <w:vertAlign w:val="superscript"/>
          <w:lang w:val="en-GB"/>
        </w:rPr>
        <w:footnoteReference w:id="24"/>
      </w:r>
      <w:r>
        <w:rPr>
          <w:rFonts w:ascii="Times New Roman" w:hAnsi="Times New Roman"/>
          <w:noProof/>
          <w:sz w:val="24"/>
          <w:szCs w:val="24"/>
        </w:rPr>
        <w:t xml:space="preserve">. El reto consiste en aprovechar este potencial a través de medidas que faculten, apoyen y </w:t>
      </w:r>
      <w:r>
        <w:rPr>
          <w:rFonts w:ascii="Times New Roman" w:hAnsi="Times New Roman"/>
          <w:noProof/>
          <w:sz w:val="24"/>
          <w:szCs w:val="24"/>
        </w:rPr>
        <w:lastRenderedPageBreak/>
        <w:t>permitan a cada consumidor, independientemente de su situaci</w:t>
      </w:r>
      <w:r>
        <w:rPr>
          <w:rFonts w:ascii="Times New Roman" w:hAnsi="Times New Roman"/>
          <w:noProof/>
          <w:sz w:val="24"/>
          <w:szCs w:val="24"/>
        </w:rPr>
        <w:t>ón económica, desempeñar un papel activo en la transición ecológica sin imponer un estilo de vida específico y sin ninguna discriminación social. El acceso a productos sostenibles no debe depender del nivel de ingresos o del lugar de residencia, sino que d</w:t>
      </w:r>
      <w:r>
        <w:rPr>
          <w:rFonts w:ascii="Times New Roman" w:hAnsi="Times New Roman"/>
          <w:noProof/>
          <w:sz w:val="24"/>
          <w:szCs w:val="24"/>
        </w:rPr>
        <w:t>ebe estar disponible para todos.</w:t>
      </w:r>
    </w:p>
    <w:p w14:paraId="7AE69966"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El Pacto Verde Europeo establece una estrategia exhaustiva para transformar a la UE en una sociedad justa y próspera, con una economía limpia, circular, climáticamente neutra y con un uso eficiente de los recursos, en la qu</w:t>
      </w:r>
      <w:r>
        <w:rPr>
          <w:rFonts w:ascii="Times New Roman" w:hAnsi="Times New Roman"/>
          <w:noProof/>
          <w:sz w:val="24"/>
          <w:szCs w:val="24"/>
        </w:rPr>
        <w:t>e el crecimiento económico esté disociado del uso de los recursos y en la que las repercusiones negativas sobre el capital natural y la biodiversidad sean reducidas. Esto requiere un cambio profundo y rápido de nuestros hábitos y nuestro comportamiento</w:t>
      </w:r>
      <w:r>
        <w:rPr>
          <w:rFonts w:ascii="Times New Roman" w:hAnsi="Times New Roman"/>
          <w:b/>
          <w:bCs/>
          <w:noProof/>
          <w:sz w:val="24"/>
          <w:szCs w:val="24"/>
        </w:rPr>
        <w:t xml:space="preserve"> par</w:t>
      </w:r>
      <w:r>
        <w:rPr>
          <w:rFonts w:ascii="Times New Roman" w:hAnsi="Times New Roman"/>
          <w:b/>
          <w:bCs/>
          <w:noProof/>
          <w:sz w:val="24"/>
          <w:szCs w:val="24"/>
        </w:rPr>
        <w:t>a reducir nuestra huella ambiental</w:t>
      </w:r>
      <w:r>
        <w:rPr>
          <w:rFonts w:ascii="Times New Roman" w:hAnsi="Times New Roman"/>
          <w:noProof/>
          <w:sz w:val="24"/>
          <w:szCs w:val="24"/>
        </w:rPr>
        <w:t xml:space="preserve"> en todos los ámbitos, desde la vivienda y los alimentos hasta la movilidad y el ocio</w:t>
      </w:r>
      <w:r>
        <w:rPr>
          <w:rStyle w:val="Refdenotaalpie"/>
          <w:rFonts w:ascii="Times New Roman" w:hAnsi="Times New Roman" w:cs="Times New Roman"/>
          <w:noProof/>
          <w:sz w:val="24"/>
          <w:szCs w:val="24"/>
          <w:lang w:val="en-GB"/>
        </w:rPr>
        <w:footnoteReference w:id="25"/>
      </w:r>
      <w:r>
        <w:rPr>
          <w:rFonts w:ascii="Times New Roman" w:hAnsi="Times New Roman"/>
          <w:noProof/>
          <w:sz w:val="24"/>
          <w:szCs w:val="24"/>
        </w:rPr>
        <w:t xml:space="preserve">. </w:t>
      </w:r>
    </w:p>
    <w:p w14:paraId="7B97C680" w14:textId="77777777" w:rsidR="00450244" w:rsidRDefault="00EB0B0F">
      <w:pPr>
        <w:spacing w:after="240" w:line="240" w:lineRule="auto"/>
        <w:jc w:val="both"/>
        <w:rPr>
          <w:rFonts w:ascii="Times New Roman" w:hAnsi="Times New Roman" w:cs="Times New Roman"/>
          <w:b/>
          <w:bCs/>
          <w:noProof/>
          <w:sz w:val="24"/>
          <w:szCs w:val="24"/>
        </w:rPr>
      </w:pPr>
      <w:r>
        <w:rPr>
          <w:rFonts w:ascii="Times New Roman" w:hAnsi="Times New Roman"/>
          <w:noProof/>
          <w:sz w:val="24"/>
          <w:szCs w:val="24"/>
        </w:rPr>
        <w:t xml:space="preserve">Ya se están tomando una </w:t>
      </w:r>
      <w:r>
        <w:rPr>
          <w:rFonts w:ascii="Times New Roman" w:hAnsi="Times New Roman"/>
          <w:b/>
          <w:bCs/>
          <w:noProof/>
          <w:sz w:val="24"/>
          <w:szCs w:val="24"/>
        </w:rPr>
        <w:t>serie de iniciativas</w:t>
      </w:r>
      <w:r>
        <w:rPr>
          <w:rFonts w:ascii="Times New Roman" w:hAnsi="Times New Roman"/>
          <w:noProof/>
          <w:sz w:val="24"/>
          <w:szCs w:val="24"/>
        </w:rPr>
        <w:t xml:space="preserve"> con el objetivo de </w:t>
      </w:r>
      <w:r>
        <w:rPr>
          <w:rFonts w:ascii="Times New Roman" w:hAnsi="Times New Roman"/>
          <w:b/>
          <w:bCs/>
          <w:noProof/>
          <w:sz w:val="24"/>
          <w:szCs w:val="24"/>
        </w:rPr>
        <w:t>garantizar que los productos</w:t>
      </w:r>
      <w:r>
        <w:rPr>
          <w:rFonts w:ascii="Times New Roman" w:hAnsi="Times New Roman"/>
          <w:noProof/>
          <w:sz w:val="24"/>
          <w:szCs w:val="24"/>
        </w:rPr>
        <w:t>, tanto los bienes como los servicios, v</w:t>
      </w:r>
      <w:r>
        <w:rPr>
          <w:rFonts w:ascii="Times New Roman" w:hAnsi="Times New Roman"/>
          <w:noProof/>
          <w:sz w:val="24"/>
          <w:szCs w:val="24"/>
        </w:rPr>
        <w:t xml:space="preserve">endidos a los consumidores de la UE sean </w:t>
      </w:r>
      <w:r>
        <w:rPr>
          <w:rFonts w:ascii="Times New Roman" w:hAnsi="Times New Roman"/>
          <w:b/>
          <w:bCs/>
          <w:noProof/>
          <w:sz w:val="24"/>
          <w:szCs w:val="24"/>
        </w:rPr>
        <w:t xml:space="preserve">aptos para lograr los objetivos antes mencionados. </w:t>
      </w:r>
      <w:r>
        <w:rPr>
          <w:rFonts w:ascii="Times New Roman" w:hAnsi="Times New Roman"/>
          <w:bCs/>
          <w:noProof/>
          <w:sz w:val="24"/>
          <w:szCs w:val="24"/>
        </w:rPr>
        <w:t>Entre ellas figuran:</w:t>
      </w:r>
    </w:p>
    <w:p w14:paraId="08A724CC" w14:textId="77777777" w:rsidR="00450244" w:rsidRDefault="00EB0B0F">
      <w:pPr>
        <w:pStyle w:val="Prrafodelista"/>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la estrategia </w:t>
      </w:r>
      <w:r>
        <w:rPr>
          <w:rFonts w:ascii="Times New Roman" w:hAnsi="Times New Roman"/>
          <w:b/>
          <w:noProof/>
          <w:sz w:val="24"/>
          <w:szCs w:val="24"/>
        </w:rPr>
        <w:t>«de la granja a la mesa»</w:t>
      </w:r>
      <w:r>
        <w:rPr>
          <w:rFonts w:ascii="Times New Roman" w:hAnsi="Times New Roman" w:cs="Times New Roman"/>
          <w:noProof/>
          <w:vertAlign w:val="superscript"/>
          <w:lang w:val="en-GB"/>
        </w:rPr>
        <w:footnoteReference w:id="26"/>
      </w:r>
      <w:r>
        <w:rPr>
          <w:rFonts w:ascii="Times New Roman" w:hAnsi="Times New Roman"/>
          <w:noProof/>
          <w:sz w:val="24"/>
          <w:szCs w:val="24"/>
        </w:rPr>
        <w:t xml:space="preserve"> y la estrategia de la UE sobre la </w:t>
      </w:r>
      <w:r>
        <w:rPr>
          <w:rFonts w:ascii="Times New Roman" w:hAnsi="Times New Roman"/>
          <w:b/>
          <w:noProof/>
          <w:sz w:val="24"/>
          <w:szCs w:val="24"/>
        </w:rPr>
        <w:t>biodiversidad</w:t>
      </w:r>
      <w:r>
        <w:rPr>
          <w:rFonts w:ascii="Times New Roman" w:hAnsi="Times New Roman" w:cs="Times New Roman"/>
          <w:noProof/>
          <w:vertAlign w:val="superscript"/>
          <w:lang w:val="en-GB"/>
        </w:rPr>
        <w:footnoteReference w:id="27"/>
      </w:r>
      <w:r>
        <w:rPr>
          <w:rFonts w:ascii="Times New Roman" w:hAnsi="Times New Roman"/>
          <w:noProof/>
          <w:sz w:val="24"/>
          <w:szCs w:val="24"/>
        </w:rPr>
        <w:t>,</w:t>
      </w:r>
      <w:r>
        <w:rPr>
          <w:rFonts w:ascii="Times New Roman" w:hAnsi="Times New Roman"/>
          <w:noProof/>
        </w:rPr>
        <w:t xml:space="preserve"> </w:t>
      </w:r>
      <w:r>
        <w:rPr>
          <w:rFonts w:ascii="Times New Roman" w:hAnsi="Times New Roman"/>
          <w:noProof/>
          <w:sz w:val="24"/>
          <w:szCs w:val="24"/>
        </w:rPr>
        <w:t>las cuales anuncian medidas</w:t>
      </w:r>
      <w:r>
        <w:rPr>
          <w:rStyle w:val="Refdenotaalpie"/>
          <w:rFonts w:ascii="Times New Roman" w:hAnsi="Times New Roman" w:cs="Times New Roman"/>
          <w:noProof/>
          <w:sz w:val="24"/>
          <w:szCs w:val="24"/>
          <w:lang w:val="en-GB"/>
        </w:rPr>
        <w:footnoteReference w:id="28"/>
      </w:r>
      <w:r>
        <w:rPr>
          <w:rFonts w:ascii="Times New Roman" w:hAnsi="Times New Roman"/>
          <w:noProof/>
          <w:sz w:val="24"/>
          <w:szCs w:val="24"/>
        </w:rPr>
        <w:t xml:space="preserve"> e iniciativas clave que tienen como finalidad reducir la huella ambiental y climática de los sistemas alimentarios de la UE y facultar a los consumidores para tomar decisiones informadas y optar por alimentos saludables y sostenibles</w:t>
      </w:r>
      <w:r>
        <w:rPr>
          <w:rStyle w:val="Refdenotaalpie"/>
          <w:rFonts w:ascii="Times New Roman" w:hAnsi="Times New Roman" w:cs="Times New Roman"/>
          <w:noProof/>
          <w:sz w:val="24"/>
          <w:szCs w:val="24"/>
        </w:rPr>
        <w:footnoteReference w:id="29"/>
      </w:r>
      <w:r>
        <w:rPr>
          <w:rFonts w:ascii="Times New Roman" w:hAnsi="Times New Roman"/>
          <w:noProof/>
          <w:sz w:val="24"/>
          <w:szCs w:val="24"/>
        </w:rPr>
        <w:t xml:space="preserve">; </w:t>
      </w:r>
    </w:p>
    <w:p w14:paraId="0F3B692C" w14:textId="77777777" w:rsidR="00450244" w:rsidRDefault="00EB0B0F">
      <w:pPr>
        <w:pStyle w:val="Prrafodelista"/>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la hoja de ruta r</w:t>
      </w:r>
      <w:r>
        <w:rPr>
          <w:rFonts w:ascii="Times New Roman" w:hAnsi="Times New Roman"/>
          <w:noProof/>
          <w:sz w:val="24"/>
          <w:szCs w:val="24"/>
        </w:rPr>
        <w:t xml:space="preserve">ecientemente publicada para el </w:t>
      </w:r>
      <w:r>
        <w:rPr>
          <w:rFonts w:ascii="Times New Roman" w:hAnsi="Times New Roman"/>
          <w:b/>
          <w:noProof/>
          <w:sz w:val="24"/>
          <w:szCs w:val="24"/>
        </w:rPr>
        <w:t>Plan de Acción de Contaminación Cero</w:t>
      </w:r>
      <w:r>
        <w:rPr>
          <w:rFonts w:ascii="Times New Roman" w:hAnsi="Times New Roman"/>
          <w:noProof/>
          <w:sz w:val="24"/>
          <w:szCs w:val="24"/>
        </w:rPr>
        <w:t xml:space="preserve"> de 2021</w:t>
      </w:r>
      <w:r>
        <w:rPr>
          <w:rFonts w:ascii="Times New Roman" w:hAnsi="Times New Roman" w:cs="Times New Roman"/>
          <w:noProof/>
          <w:vertAlign w:val="superscript"/>
          <w:lang w:val="en-GB"/>
        </w:rPr>
        <w:footnoteReference w:id="30"/>
      </w:r>
      <w:r>
        <w:rPr>
          <w:rFonts w:ascii="Times New Roman" w:hAnsi="Times New Roman"/>
          <w:noProof/>
          <w:sz w:val="24"/>
          <w:szCs w:val="24"/>
        </w:rPr>
        <w:t>, que identifica los productos de consumo como un ámbito de actuación importante y estudia maneras de incentivar</w:t>
      </w:r>
      <w:r>
        <w:rPr>
          <w:rFonts w:ascii="Times New Roman" w:hAnsi="Times New Roman" w:cs="Times New Roman"/>
          <w:noProof/>
          <w:vertAlign w:val="superscript"/>
          <w:lang w:val="en-GB"/>
        </w:rPr>
        <w:footnoteReference w:id="31"/>
      </w:r>
      <w:r>
        <w:rPr>
          <w:rFonts w:ascii="Times New Roman" w:hAnsi="Times New Roman"/>
          <w:noProof/>
          <w:sz w:val="24"/>
          <w:szCs w:val="24"/>
        </w:rPr>
        <w:t xml:space="preserve"> a los consumidores para que elijan opciones más limpias; </w:t>
      </w:r>
    </w:p>
    <w:p w14:paraId="753E8643" w14:textId="77777777" w:rsidR="00450244" w:rsidRDefault="00EB0B0F">
      <w:pPr>
        <w:pStyle w:val="Prrafodelista"/>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lastRenderedPageBreak/>
        <w:t xml:space="preserve">la </w:t>
      </w:r>
      <w:r>
        <w:rPr>
          <w:rFonts w:ascii="Times New Roman" w:hAnsi="Times New Roman"/>
          <w:b/>
          <w:noProof/>
          <w:sz w:val="24"/>
          <w:szCs w:val="24"/>
        </w:rPr>
        <w:t>est</w:t>
      </w:r>
      <w:r>
        <w:rPr>
          <w:rFonts w:ascii="Times New Roman" w:hAnsi="Times New Roman"/>
          <w:b/>
          <w:noProof/>
          <w:sz w:val="24"/>
          <w:szCs w:val="24"/>
        </w:rPr>
        <w:t>rategia de sostenibilidad para las sustancias químicas</w:t>
      </w:r>
      <w:r>
        <w:rPr>
          <w:rFonts w:ascii="Times New Roman" w:hAnsi="Times New Roman" w:cs="Times New Roman"/>
          <w:noProof/>
          <w:vertAlign w:val="superscript"/>
          <w:lang w:val="en-GB"/>
        </w:rPr>
        <w:footnoteReference w:id="32"/>
      </w:r>
      <w:r>
        <w:rPr>
          <w:rFonts w:ascii="Times New Roman" w:hAnsi="Times New Roman"/>
          <w:noProof/>
          <w:sz w:val="24"/>
          <w:szCs w:val="24"/>
        </w:rPr>
        <w:t>, que también ha anunciado medidas que pretenden aumentar la cantidad de información sobre las sustancias químicas a disposición de los consumidores, así como protegerlos de las sustancias más nocivas, y promueve las sustancias químicas seguras y sostenibl</w:t>
      </w:r>
      <w:r>
        <w:rPr>
          <w:rFonts w:ascii="Times New Roman" w:hAnsi="Times New Roman"/>
          <w:noProof/>
          <w:sz w:val="24"/>
          <w:szCs w:val="24"/>
        </w:rPr>
        <w:t xml:space="preserve">es desde su concepción; </w:t>
      </w:r>
    </w:p>
    <w:p w14:paraId="7AB1AAE7" w14:textId="77777777" w:rsidR="00450244" w:rsidRDefault="00EB0B0F">
      <w:pPr>
        <w:pStyle w:val="Prrafodelista"/>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sobre la base del plan de acción de 2018</w:t>
      </w:r>
      <w:r>
        <w:rPr>
          <w:rFonts w:ascii="Times New Roman" w:hAnsi="Times New Roman" w:cs="Times New Roman"/>
          <w:noProof/>
          <w:vertAlign w:val="superscript"/>
        </w:rPr>
        <w:footnoteReference w:id="33"/>
      </w:r>
      <w:r>
        <w:rPr>
          <w:rFonts w:ascii="Times New Roman" w:hAnsi="Times New Roman"/>
          <w:noProof/>
          <w:sz w:val="24"/>
          <w:szCs w:val="24"/>
        </w:rPr>
        <w:t xml:space="preserve">, la próxima </w:t>
      </w:r>
      <w:r>
        <w:rPr>
          <w:rFonts w:ascii="Times New Roman" w:hAnsi="Times New Roman"/>
          <w:b/>
          <w:noProof/>
          <w:sz w:val="24"/>
          <w:szCs w:val="24"/>
        </w:rPr>
        <w:t>estrategia renovada de finanzas sostenibles</w:t>
      </w:r>
      <w:r>
        <w:rPr>
          <w:rFonts w:ascii="Times New Roman" w:hAnsi="Times New Roman"/>
          <w:noProof/>
          <w:sz w:val="24"/>
          <w:szCs w:val="24"/>
        </w:rPr>
        <w:t xml:space="preserve"> intentará ofrecer a los consumidores nuevas oportunidades para influir de manera positiva en la sostenibilidad al brindarles informa</w:t>
      </w:r>
      <w:r>
        <w:rPr>
          <w:rFonts w:ascii="Times New Roman" w:hAnsi="Times New Roman"/>
          <w:noProof/>
          <w:sz w:val="24"/>
          <w:szCs w:val="24"/>
        </w:rPr>
        <w:t>ción fiable, completa y fidedigna sobre los productos financieros en los que invierten; y</w:t>
      </w:r>
    </w:p>
    <w:p w14:paraId="0CF655C9" w14:textId="77777777" w:rsidR="00450244" w:rsidRDefault="00EB0B0F">
      <w:pPr>
        <w:pStyle w:val="Prrafodelista"/>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la «</w:t>
      </w:r>
      <w:r>
        <w:rPr>
          <w:rFonts w:ascii="Times New Roman" w:hAnsi="Times New Roman"/>
          <w:b/>
          <w:noProof/>
          <w:sz w:val="24"/>
          <w:szCs w:val="24"/>
        </w:rPr>
        <w:t>oleada de renovación</w:t>
      </w:r>
      <w:r>
        <w:rPr>
          <w:rFonts w:ascii="Times New Roman" w:hAnsi="Times New Roman"/>
          <w:noProof/>
          <w:sz w:val="24"/>
          <w:szCs w:val="24"/>
        </w:rPr>
        <w:t>»</w:t>
      </w:r>
      <w:r>
        <w:rPr>
          <w:rStyle w:val="Refdenotaalpie"/>
          <w:rFonts w:ascii="Times New Roman" w:hAnsi="Times New Roman" w:cs="Times New Roman"/>
          <w:noProof/>
          <w:sz w:val="24"/>
          <w:szCs w:val="24"/>
          <w:lang w:val="en-GB"/>
        </w:rPr>
        <w:footnoteReference w:id="34"/>
      </w:r>
      <w:r>
        <w:rPr>
          <w:rFonts w:ascii="Times New Roman" w:hAnsi="Times New Roman"/>
          <w:noProof/>
          <w:sz w:val="24"/>
          <w:szCs w:val="24"/>
        </w:rPr>
        <w:t xml:space="preserve"> presenta una estrategia para hacer que los hogares de los consumidores sean adecuados para una sociedad más ecológica y digital, incluyend</w:t>
      </w:r>
      <w:r>
        <w:rPr>
          <w:rFonts w:ascii="Times New Roman" w:hAnsi="Times New Roman"/>
          <w:noProof/>
          <w:sz w:val="24"/>
          <w:szCs w:val="24"/>
        </w:rPr>
        <w:t>o herramientas de información reforzadas para los consumidores.</w:t>
      </w:r>
    </w:p>
    <w:p w14:paraId="6145A8DB"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Asimismo, el nuevo Plan de acción para la economía circular establece una serie de iniciativas específicas</w:t>
      </w:r>
      <w:r>
        <w:rPr>
          <w:rFonts w:ascii="Times New Roman" w:hAnsi="Times New Roman" w:cs="Times New Roman"/>
          <w:noProof/>
          <w:sz w:val="24"/>
          <w:szCs w:val="24"/>
          <w:vertAlign w:val="superscript"/>
          <w:lang w:val="en-GB"/>
        </w:rPr>
        <w:footnoteReference w:id="35"/>
      </w:r>
      <w:r>
        <w:rPr>
          <w:rFonts w:ascii="Times New Roman" w:hAnsi="Times New Roman"/>
          <w:noProof/>
          <w:sz w:val="24"/>
          <w:szCs w:val="24"/>
        </w:rPr>
        <w:t xml:space="preserve"> para </w:t>
      </w:r>
      <w:r>
        <w:rPr>
          <w:rFonts w:ascii="Times New Roman" w:hAnsi="Times New Roman"/>
          <w:b/>
          <w:noProof/>
          <w:sz w:val="24"/>
          <w:szCs w:val="24"/>
        </w:rPr>
        <w:t>luchar contra la obsolescencia temprana y promover la durabilidad</w:t>
      </w:r>
      <w:r>
        <w:rPr>
          <w:rFonts w:ascii="Times New Roman" w:hAnsi="Times New Roman"/>
          <w:noProof/>
          <w:sz w:val="24"/>
          <w:szCs w:val="24"/>
        </w:rPr>
        <w:t>, el reciclad</w:t>
      </w:r>
      <w:r>
        <w:rPr>
          <w:rFonts w:ascii="Times New Roman" w:hAnsi="Times New Roman"/>
          <w:noProof/>
          <w:sz w:val="24"/>
          <w:szCs w:val="24"/>
        </w:rPr>
        <w:t>o, la reparabilidad y la accesibilidad</w:t>
      </w:r>
      <w:r>
        <w:rPr>
          <w:rStyle w:val="Refdenotaalpie"/>
          <w:rFonts w:ascii="Times New Roman" w:hAnsi="Times New Roman" w:cs="Times New Roman"/>
          <w:noProof/>
          <w:sz w:val="24"/>
          <w:szCs w:val="24"/>
          <w:lang w:val="en-GB"/>
        </w:rPr>
        <w:footnoteReference w:id="36"/>
      </w:r>
      <w:r>
        <w:rPr>
          <w:rFonts w:ascii="Times New Roman" w:hAnsi="Times New Roman"/>
          <w:noProof/>
          <w:sz w:val="24"/>
          <w:szCs w:val="24"/>
        </w:rPr>
        <w:t xml:space="preserve"> de los productos, y apoyar la actuación de las empresas. En particular, la iniciativa sobre productos sostenibles</w:t>
      </w:r>
      <w:r>
        <w:rPr>
          <w:rFonts w:ascii="Times New Roman" w:hAnsi="Times New Roman" w:cs="Times New Roman"/>
          <w:noProof/>
          <w:vertAlign w:val="superscript"/>
          <w:lang w:val="en-GB"/>
        </w:rPr>
        <w:footnoteReference w:id="37"/>
      </w:r>
      <w:r>
        <w:rPr>
          <w:rFonts w:ascii="Times New Roman" w:hAnsi="Times New Roman"/>
          <w:noProof/>
          <w:sz w:val="24"/>
          <w:szCs w:val="24"/>
        </w:rPr>
        <w:t xml:space="preserve"> tendrá por objeto convertir en norma los productos sostenibles al establecer principios sobre la sostenibilidad de los productos y revisar la Directiva sobre diseño ecológico</w:t>
      </w:r>
      <w:r>
        <w:rPr>
          <w:rFonts w:ascii="Times New Roman" w:hAnsi="Times New Roman" w:cs="Times New Roman"/>
          <w:noProof/>
          <w:vertAlign w:val="superscript"/>
          <w:lang w:val="en-GB"/>
        </w:rPr>
        <w:footnoteReference w:id="38"/>
      </w:r>
      <w:r>
        <w:rPr>
          <w:rFonts w:ascii="Times New Roman" w:hAnsi="Times New Roman"/>
          <w:noProof/>
          <w:sz w:val="24"/>
          <w:szCs w:val="24"/>
        </w:rPr>
        <w:t xml:space="preserve">, ampliando su ámbito de aplicación más allá de los productos relacionados con </w:t>
      </w:r>
      <w:r>
        <w:rPr>
          <w:rFonts w:ascii="Times New Roman" w:hAnsi="Times New Roman"/>
          <w:noProof/>
          <w:sz w:val="24"/>
          <w:szCs w:val="24"/>
        </w:rPr>
        <w:t>la energía y logrando la circularidad. Se necesitarán medidas reglamentarias y no reglamentarias adicionales para tratar grupos específicos de bienes y servicios, tales como las TIC, los aparatos electrónicos, los textiles y los envases. Por ejemplo:</w:t>
      </w:r>
    </w:p>
    <w:p w14:paraId="486BB32C" w14:textId="77777777" w:rsidR="00450244" w:rsidRDefault="00EB0B0F">
      <w:pPr>
        <w:pStyle w:val="Prrafodelista"/>
        <w:numPr>
          <w:ilvl w:val="0"/>
          <w:numId w:val="8"/>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noProof/>
          <w:sz w:val="24"/>
          <w:szCs w:val="24"/>
        </w:rPr>
        <w:t>in</w:t>
      </w:r>
      <w:r>
        <w:rPr>
          <w:rFonts w:ascii="Times New Roman" w:hAnsi="Times New Roman"/>
          <w:b/>
          <w:noProof/>
          <w:sz w:val="24"/>
          <w:szCs w:val="24"/>
        </w:rPr>
        <w:t>iciativa de electrónica circular</w:t>
      </w:r>
      <w:r>
        <w:rPr>
          <w:rFonts w:ascii="Times New Roman" w:hAnsi="Times New Roman" w:cs="Times New Roman"/>
          <w:noProof/>
          <w:vertAlign w:val="superscript"/>
          <w:lang w:val="en-GB"/>
        </w:rPr>
        <w:footnoteReference w:id="39"/>
      </w:r>
      <w:r>
        <w:rPr>
          <w:rFonts w:ascii="Times New Roman" w:hAnsi="Times New Roman"/>
          <w:noProof/>
          <w:sz w:val="24"/>
          <w:szCs w:val="24"/>
        </w:rPr>
        <w:t xml:space="preserve"> tiene como finalidad garantizar que los aparatos electrónicos se diseñen conforme a los criterios de durabilidad, mantenimiento, reparación, desmontaje, reutilización y reciclaje, y que los consumidores tengan un «derecho</w:t>
      </w:r>
      <w:r>
        <w:rPr>
          <w:rFonts w:ascii="Times New Roman" w:hAnsi="Times New Roman"/>
          <w:noProof/>
          <w:sz w:val="24"/>
          <w:szCs w:val="24"/>
        </w:rPr>
        <w:t xml:space="preserve"> de reparación», incluidas las actualizaciones de software.</w:t>
      </w:r>
    </w:p>
    <w:p w14:paraId="66C5821D" w14:textId="77777777" w:rsidR="00450244" w:rsidRDefault="00EB0B0F">
      <w:pPr>
        <w:pStyle w:val="Prrafodelista"/>
        <w:numPr>
          <w:ilvl w:val="0"/>
          <w:numId w:val="8"/>
        </w:numPr>
        <w:spacing w:after="240" w:line="240" w:lineRule="auto"/>
        <w:ind w:left="714" w:hanging="357"/>
        <w:contextualSpacing w:val="0"/>
        <w:jc w:val="both"/>
        <w:rPr>
          <w:rFonts w:ascii="Times New Roman" w:hAnsi="Times New Roman"/>
          <w:noProof/>
          <w:sz w:val="24"/>
        </w:rPr>
      </w:pPr>
      <w:r>
        <w:rPr>
          <w:rFonts w:ascii="Times New Roman" w:hAnsi="Times New Roman"/>
          <w:noProof/>
          <w:sz w:val="24"/>
          <w:szCs w:val="24"/>
        </w:rPr>
        <w:t xml:space="preserve">La iniciativa sobre un </w:t>
      </w:r>
      <w:r>
        <w:rPr>
          <w:rFonts w:ascii="Times New Roman" w:hAnsi="Times New Roman"/>
          <w:b/>
          <w:noProof/>
          <w:sz w:val="24"/>
          <w:szCs w:val="24"/>
        </w:rPr>
        <w:t>cargador común</w:t>
      </w:r>
      <w:r>
        <w:rPr>
          <w:rFonts w:ascii="Times New Roman" w:hAnsi="Times New Roman"/>
          <w:noProof/>
          <w:sz w:val="24"/>
          <w:szCs w:val="24"/>
        </w:rPr>
        <w:t xml:space="preserve"> para teléfonos móviles y otros dispositivos portátiles</w:t>
      </w:r>
      <w:r>
        <w:rPr>
          <w:rFonts w:ascii="Times New Roman" w:hAnsi="Times New Roman" w:cs="Times New Roman"/>
          <w:noProof/>
          <w:vertAlign w:val="superscript"/>
          <w:lang w:val="en-GB"/>
        </w:rPr>
        <w:footnoteReference w:id="40"/>
      </w:r>
      <w:r>
        <w:rPr>
          <w:rFonts w:ascii="Times New Roman" w:hAnsi="Times New Roman"/>
          <w:noProof/>
          <w:sz w:val="24"/>
          <w:szCs w:val="24"/>
        </w:rPr>
        <w:t xml:space="preserve"> tiene como objetivo aumentar la comodidad de los consumidores y reducir </w:t>
      </w:r>
      <w:r>
        <w:rPr>
          <w:rFonts w:ascii="Times New Roman" w:hAnsi="Times New Roman"/>
          <w:noProof/>
          <w:sz w:val="24"/>
          <w:szCs w:val="24"/>
        </w:rPr>
        <w:lastRenderedPageBreak/>
        <w:t>el uso de material y los resi</w:t>
      </w:r>
      <w:r>
        <w:rPr>
          <w:rFonts w:ascii="Times New Roman" w:hAnsi="Times New Roman"/>
          <w:noProof/>
          <w:sz w:val="24"/>
          <w:szCs w:val="24"/>
        </w:rPr>
        <w:t xml:space="preserve">duos de aparatos eléctricos y electrónicos relacionados con la producción y la eliminación de este artículo concreto utilizado a diario por la gran mayoría de los consumidores. </w:t>
      </w:r>
    </w:p>
    <w:p w14:paraId="421D784A" w14:textId="77777777" w:rsidR="00450244" w:rsidRDefault="00EB0B0F">
      <w:pPr>
        <w:pStyle w:val="Prrafodelista"/>
        <w:numPr>
          <w:ilvl w:val="0"/>
          <w:numId w:val="8"/>
        </w:numPr>
        <w:spacing w:after="240" w:line="240" w:lineRule="auto"/>
        <w:ind w:left="714" w:hanging="357"/>
        <w:contextualSpacing w:val="0"/>
        <w:jc w:val="both"/>
        <w:rPr>
          <w:rFonts w:ascii="Times New Roman" w:hAnsi="Times New Roman" w:cs="Times New Roman"/>
          <w:noProof/>
        </w:rPr>
      </w:pPr>
      <w:r>
        <w:rPr>
          <w:rFonts w:ascii="Times New Roman" w:hAnsi="Times New Roman"/>
          <w:noProof/>
          <w:sz w:val="24"/>
          <w:szCs w:val="24"/>
        </w:rPr>
        <w:t xml:space="preserve">La futura </w:t>
      </w:r>
      <w:r>
        <w:rPr>
          <w:rFonts w:ascii="Times New Roman" w:hAnsi="Times New Roman"/>
          <w:b/>
          <w:noProof/>
          <w:sz w:val="24"/>
          <w:szCs w:val="24"/>
        </w:rPr>
        <w:t>estrategia de la UE para el sector textil</w:t>
      </w:r>
      <w:r>
        <w:rPr>
          <w:rFonts w:ascii="Times New Roman" w:hAnsi="Times New Roman"/>
          <w:noProof/>
          <w:sz w:val="24"/>
          <w:szCs w:val="24"/>
        </w:rPr>
        <w:t xml:space="preserve"> intentará facultar a los c</w:t>
      </w:r>
      <w:r>
        <w:rPr>
          <w:rFonts w:ascii="Times New Roman" w:hAnsi="Times New Roman"/>
          <w:noProof/>
          <w:sz w:val="24"/>
          <w:szCs w:val="24"/>
        </w:rPr>
        <w:t>onsumidores para optar por textiles sostenibles y tener un fácil acceso a servicios de reutilización y reparación.</w:t>
      </w:r>
    </w:p>
    <w:p w14:paraId="7F9C7BFB" w14:textId="77777777" w:rsidR="00450244" w:rsidRDefault="00EB0B0F">
      <w:pPr>
        <w:pStyle w:val="Default"/>
        <w:numPr>
          <w:ilvl w:val="0"/>
          <w:numId w:val="8"/>
        </w:numPr>
        <w:spacing w:after="240"/>
        <w:ind w:left="714" w:hanging="357"/>
        <w:jc w:val="both"/>
        <w:rPr>
          <w:rFonts w:ascii="Times New Roman" w:hAnsi="Times New Roman" w:cs="Times New Roman"/>
          <w:noProof/>
          <w:color w:val="auto"/>
        </w:rPr>
      </w:pPr>
      <w:r>
        <w:rPr>
          <w:rFonts w:ascii="Times New Roman" w:hAnsi="Times New Roman"/>
          <w:noProof/>
          <w:color w:val="auto"/>
        </w:rPr>
        <w:t xml:space="preserve">La revisión de la </w:t>
      </w:r>
      <w:r>
        <w:rPr>
          <w:rFonts w:ascii="Times New Roman" w:hAnsi="Times New Roman"/>
          <w:b/>
          <w:noProof/>
          <w:color w:val="auto"/>
        </w:rPr>
        <w:t>Directiva relativa a los envases y residuos de envases</w:t>
      </w:r>
      <w:r>
        <w:rPr>
          <w:rFonts w:ascii="Times New Roman" w:hAnsi="Times New Roman"/>
          <w:noProof/>
          <w:color w:val="auto"/>
        </w:rPr>
        <w:t xml:space="preserve"> tiene como finalidad hacer que todos los envases sean reutilizables </w:t>
      </w:r>
      <w:r>
        <w:rPr>
          <w:rFonts w:ascii="Times New Roman" w:hAnsi="Times New Roman"/>
          <w:noProof/>
          <w:color w:val="auto"/>
        </w:rPr>
        <w:t>y reciclables de una manera económicamente viable y abordar el envasado excesivo.</w:t>
      </w:r>
    </w:p>
    <w:p w14:paraId="314D48DE"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Estas iniciativas promoverán un mejor mantenimiento del valor, darán prioridad a los productos más seguros y más duraderos y mantendrán los materiales en el ciclo económico (</w:t>
      </w:r>
      <w:r>
        <w:rPr>
          <w:rFonts w:ascii="Times New Roman" w:hAnsi="Times New Roman"/>
          <w:noProof/>
          <w:sz w:val="24"/>
          <w:szCs w:val="24"/>
        </w:rPr>
        <w:t>refabricar, reducir, reparar, reutilizar y reciclar) por el mayor tiempo posible</w:t>
      </w:r>
      <w:r>
        <w:rPr>
          <w:rStyle w:val="Refdenotaalpie"/>
          <w:rFonts w:ascii="Times New Roman" w:hAnsi="Times New Roman" w:cs="Times New Roman"/>
          <w:noProof/>
          <w:sz w:val="24"/>
          <w:szCs w:val="24"/>
          <w:lang w:val="en-GB"/>
        </w:rPr>
        <w:footnoteReference w:id="41"/>
      </w:r>
      <w:r>
        <w:rPr>
          <w:rFonts w:ascii="Times New Roman" w:hAnsi="Times New Roman"/>
          <w:noProof/>
          <w:sz w:val="24"/>
          <w:szCs w:val="24"/>
        </w:rPr>
        <w:t xml:space="preserve">. </w:t>
      </w:r>
      <w:r>
        <w:rPr>
          <w:noProof/>
        </w:rPr>
        <w:t xml:space="preserve"> </w:t>
      </w:r>
    </w:p>
    <w:p w14:paraId="7CF129B6"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Para facilitar una aceptación social óptima de nuevos bienes y servicios, así como de nuevos enfoques de consumo, los consumidores necesitan </w:t>
      </w:r>
      <w:r>
        <w:rPr>
          <w:rFonts w:ascii="Times New Roman" w:hAnsi="Times New Roman"/>
          <w:b/>
          <w:bCs/>
          <w:noProof/>
          <w:sz w:val="24"/>
          <w:szCs w:val="24"/>
        </w:rPr>
        <w:t>información más fiable y de m</w:t>
      </w:r>
      <w:r>
        <w:rPr>
          <w:rFonts w:ascii="Times New Roman" w:hAnsi="Times New Roman"/>
          <w:b/>
          <w:bCs/>
          <w:noProof/>
          <w:sz w:val="24"/>
          <w:szCs w:val="24"/>
        </w:rPr>
        <w:t>ayor calidad sobre los aspectos relacionados con la sostenibilidad de los bienes y servicios, a la vez que se evita la sobrecarga de información.</w:t>
      </w:r>
      <w:r>
        <w:rPr>
          <w:rFonts w:ascii="Times New Roman" w:hAnsi="Times New Roman"/>
          <w:noProof/>
          <w:sz w:val="24"/>
          <w:szCs w:val="24"/>
        </w:rPr>
        <w:t xml:space="preserve"> Los participantes de la consulta pública</w:t>
      </w:r>
      <w:r>
        <w:rPr>
          <w:rStyle w:val="Refdenotaalpie"/>
          <w:rFonts w:ascii="Times New Roman" w:hAnsi="Times New Roman" w:cs="Times New Roman"/>
          <w:noProof/>
          <w:sz w:val="24"/>
          <w:szCs w:val="24"/>
          <w:lang w:val="en-GB"/>
        </w:rPr>
        <w:footnoteReference w:id="42"/>
      </w:r>
      <w:r>
        <w:rPr>
          <w:rFonts w:ascii="Times New Roman" w:hAnsi="Times New Roman"/>
          <w:noProof/>
          <w:sz w:val="24"/>
          <w:szCs w:val="24"/>
        </w:rPr>
        <w:t xml:space="preserve"> señalaron la falta de tal información y las preocupaciones en cuanto a la fiabilidad de las declaraciones ecológicas y la información sobre los productos como obstáculos importantes para una mayor aceptación de las opciones de consumo sostenibles. La próx</w:t>
      </w:r>
      <w:r>
        <w:rPr>
          <w:rFonts w:ascii="Times New Roman" w:hAnsi="Times New Roman"/>
          <w:noProof/>
          <w:sz w:val="24"/>
          <w:szCs w:val="24"/>
        </w:rPr>
        <w:t>ima iniciativa sobre el empoderamiento de los consumidores para la transición ecológica pretende abordar el acceso de los consumidores a información sobre las características ambientales de los productos, incluida su durabilidad, reparabilidad o posibilida</w:t>
      </w:r>
      <w:r>
        <w:rPr>
          <w:rFonts w:ascii="Times New Roman" w:hAnsi="Times New Roman"/>
          <w:noProof/>
          <w:sz w:val="24"/>
          <w:szCs w:val="24"/>
        </w:rPr>
        <w:t xml:space="preserve">d de actualización, así como la cuestión de la fiabilidad y la comparabilidad de tal información. Establecerá requisitos generales que complementarían las normas más específicas contenidas en la legislación sectorial, por ejemplo, sobre productos o grupos </w:t>
      </w:r>
      <w:r>
        <w:rPr>
          <w:rFonts w:ascii="Times New Roman" w:hAnsi="Times New Roman"/>
          <w:noProof/>
          <w:sz w:val="24"/>
          <w:szCs w:val="24"/>
        </w:rPr>
        <w:t>de productos específicos.</w:t>
      </w:r>
    </w:p>
    <w:p w14:paraId="4ADA2CBE"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Una mejor información sobre la disponibilidad de piezas de recambio y servicios de reparación puede aumentar aún más la durabilidad de los productos. La </w:t>
      </w:r>
      <w:r>
        <w:rPr>
          <w:rFonts w:ascii="Times New Roman" w:hAnsi="Times New Roman"/>
          <w:noProof/>
          <w:sz w:val="24"/>
        </w:rPr>
        <w:t xml:space="preserve">futura iniciativa para capacitar a los consumidores </w:t>
      </w:r>
      <w:r>
        <w:rPr>
          <w:rFonts w:ascii="Times New Roman" w:hAnsi="Times New Roman"/>
          <w:noProof/>
          <w:sz w:val="24"/>
          <w:szCs w:val="24"/>
        </w:rPr>
        <w:t>para</w:t>
      </w:r>
      <w:r>
        <w:rPr>
          <w:rFonts w:ascii="Times New Roman" w:hAnsi="Times New Roman"/>
          <w:noProof/>
          <w:sz w:val="24"/>
        </w:rPr>
        <w:t xml:space="preserve"> la transición ecológica</w:t>
      </w:r>
      <w:r>
        <w:rPr>
          <w:rFonts w:ascii="Times New Roman" w:hAnsi="Times New Roman"/>
          <w:noProof/>
          <w:sz w:val="24"/>
          <w:szCs w:val="24"/>
        </w:rPr>
        <w:t>, la iniciativa sobre u</w:t>
      </w:r>
      <w:r>
        <w:rPr>
          <w:rFonts w:ascii="Times New Roman" w:hAnsi="Times New Roman"/>
          <w:noProof/>
          <w:sz w:val="24"/>
          <w:szCs w:val="24"/>
        </w:rPr>
        <w:t xml:space="preserve">na política de productos sostenibles y, si procede, las iniciativas sectoriales serán esenciales para otorgar a los consumidores </w:t>
      </w:r>
      <w:r>
        <w:rPr>
          <w:rFonts w:ascii="Times New Roman" w:hAnsi="Times New Roman"/>
          <w:b/>
          <w:bCs/>
          <w:noProof/>
          <w:sz w:val="24"/>
          <w:szCs w:val="24"/>
        </w:rPr>
        <w:t>un derecho efectivo de reparación</w:t>
      </w:r>
      <w:r>
        <w:rPr>
          <w:rFonts w:ascii="Times New Roman" w:hAnsi="Times New Roman"/>
          <w:noProof/>
          <w:sz w:val="24"/>
          <w:szCs w:val="24"/>
        </w:rPr>
        <w:t>. Por otra parte, la futura revisión de la Directiva sobre la compraventa de bienes</w:t>
      </w:r>
      <w:r>
        <w:rPr>
          <w:rFonts w:ascii="Times New Roman" w:hAnsi="Times New Roman" w:cs="Times New Roman"/>
          <w:noProof/>
          <w:sz w:val="24"/>
          <w:szCs w:val="24"/>
          <w:vertAlign w:val="superscript"/>
        </w:rPr>
        <w:footnoteReference w:id="43"/>
      </w:r>
      <w:r>
        <w:rPr>
          <w:rFonts w:ascii="Times New Roman" w:hAnsi="Times New Roman"/>
          <w:noProof/>
          <w:sz w:val="24"/>
          <w:szCs w:val="24"/>
        </w:rPr>
        <w:t xml:space="preserve"> ofrecerí</w:t>
      </w:r>
      <w:r>
        <w:rPr>
          <w:rFonts w:ascii="Times New Roman" w:hAnsi="Times New Roman"/>
          <w:noProof/>
          <w:sz w:val="24"/>
          <w:szCs w:val="24"/>
        </w:rPr>
        <w:t>a la oportunidad de examinar qué más se puede hacer para promover la reparación y fomentar el uso de productos circulares más sostenibles. Se analizarán varias opciones relacionadas con las medidas correctoras disponibles para los consumidores, como dar pr</w:t>
      </w:r>
      <w:r>
        <w:rPr>
          <w:rFonts w:ascii="Times New Roman" w:hAnsi="Times New Roman"/>
          <w:noProof/>
          <w:sz w:val="24"/>
          <w:szCs w:val="24"/>
        </w:rPr>
        <w:t xml:space="preserve">eferencia a la reparación sobre la sustitución, ampliar el período de responsabilidad mínimo para los bienes nuevos o de segundo mano, reiniciar un nuevo período de responsabilidad tras la reparación. </w:t>
      </w:r>
    </w:p>
    <w:p w14:paraId="2EF35828" w14:textId="77777777" w:rsidR="00450244" w:rsidRDefault="00EB0B0F">
      <w:pPr>
        <w:spacing w:after="240" w:line="240" w:lineRule="auto"/>
        <w:jc w:val="both"/>
        <w:rPr>
          <w:rFonts w:ascii="Times New Roman" w:hAnsi="Times New Roman"/>
          <w:noProof/>
          <w:sz w:val="24"/>
        </w:rPr>
      </w:pPr>
      <w:r>
        <w:rPr>
          <w:rFonts w:ascii="Times New Roman" w:hAnsi="Times New Roman"/>
          <w:noProof/>
          <w:sz w:val="24"/>
          <w:szCs w:val="24"/>
        </w:rPr>
        <w:lastRenderedPageBreak/>
        <w:t>Estos esfuerzos podrían complementarse con la promoció</w:t>
      </w:r>
      <w:r>
        <w:rPr>
          <w:rFonts w:ascii="Times New Roman" w:hAnsi="Times New Roman"/>
          <w:noProof/>
          <w:sz w:val="24"/>
          <w:szCs w:val="24"/>
        </w:rPr>
        <w:t xml:space="preserve">n de </w:t>
      </w:r>
      <w:r>
        <w:rPr>
          <w:rFonts w:ascii="Times New Roman" w:hAnsi="Times New Roman"/>
          <w:b/>
          <w:bCs/>
          <w:noProof/>
          <w:sz w:val="24"/>
          <w:szCs w:val="24"/>
        </w:rPr>
        <w:t>nuevos conceptos y hábitos de consumo</w:t>
      </w:r>
      <w:r>
        <w:rPr>
          <w:rFonts w:ascii="Times New Roman" w:hAnsi="Times New Roman"/>
          <w:noProof/>
          <w:sz w:val="24"/>
          <w:szCs w:val="24"/>
        </w:rPr>
        <w:t>, tales como la economía colaborativa, nuevos modelos de negocio que permitan a los consumidores comprar servicios en vez de bienes o el fomento de las reparaciones a través de acciones de organizaciones comunitari</w:t>
      </w:r>
      <w:r>
        <w:rPr>
          <w:rFonts w:ascii="Times New Roman" w:hAnsi="Times New Roman"/>
          <w:noProof/>
          <w:sz w:val="24"/>
          <w:szCs w:val="24"/>
        </w:rPr>
        <w:t>as y de economía social (por ejemplo, cafés de reparación) y de los mercados de segunda mano.</w:t>
      </w:r>
    </w:p>
    <w:p w14:paraId="4889B5EC"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menudo, proporcionar información más fiable y de mayor calidad a los consumidores implica </w:t>
      </w:r>
      <w:r>
        <w:rPr>
          <w:rFonts w:ascii="Times New Roman" w:hAnsi="Times New Roman"/>
          <w:b/>
          <w:noProof/>
          <w:sz w:val="24"/>
          <w:szCs w:val="24"/>
        </w:rPr>
        <w:t>mejorar las herramientas existentes</w:t>
      </w:r>
      <w:r>
        <w:rPr>
          <w:rFonts w:ascii="Times New Roman" w:hAnsi="Times New Roman"/>
          <w:noProof/>
          <w:sz w:val="24"/>
          <w:szCs w:val="24"/>
        </w:rPr>
        <w:t>. Las etiquetas actualizadas que pr</w:t>
      </w:r>
      <w:r>
        <w:rPr>
          <w:rFonts w:ascii="Times New Roman" w:hAnsi="Times New Roman"/>
          <w:noProof/>
          <w:sz w:val="24"/>
          <w:szCs w:val="24"/>
        </w:rPr>
        <w:t xml:space="preserve">oporcionan información sobre los productos y aparatos cubiertos por la Directiva sobre diseño ecológico y el marco sobre etiquetado energético ayudarán a aumentar la concienciación y a gestionar las expectativas de rendimiento energético de los productos, </w:t>
      </w:r>
      <w:r>
        <w:rPr>
          <w:rFonts w:ascii="Times New Roman" w:hAnsi="Times New Roman"/>
          <w:noProof/>
          <w:sz w:val="24"/>
          <w:szCs w:val="24"/>
        </w:rPr>
        <w:t>contribuyendo a la consecución del objetivo de eficiencia energética de la UE. Asimismo, la aceptación y el conocimiento de la etiqueta ecológica de la UE</w:t>
      </w:r>
      <w:r>
        <w:rPr>
          <w:rStyle w:val="Refdenotaalpie"/>
          <w:rFonts w:ascii="Times New Roman" w:hAnsi="Times New Roman" w:cs="Times New Roman"/>
          <w:noProof/>
          <w:sz w:val="24"/>
          <w:szCs w:val="24"/>
          <w:lang w:val="en-GB"/>
        </w:rPr>
        <w:footnoteReference w:id="44"/>
      </w:r>
      <w:r>
        <w:rPr>
          <w:rFonts w:ascii="Times New Roman" w:hAnsi="Times New Roman"/>
          <w:noProof/>
          <w:sz w:val="24"/>
          <w:szCs w:val="24"/>
        </w:rPr>
        <w:t xml:space="preserve"> podrían fomentarse a través de actividades de comunicación y asociaciones con las partes interesada</w:t>
      </w:r>
      <w:r>
        <w:rPr>
          <w:rFonts w:ascii="Times New Roman" w:hAnsi="Times New Roman"/>
          <w:noProof/>
          <w:sz w:val="24"/>
          <w:szCs w:val="24"/>
        </w:rPr>
        <w:t>s pertinentes, incluidos los minoristas, con la finalidad de promover la etiqueta ecológica de la UE también en los mercados electrónicos. Además, la etiqueta ecológica de la UE se ampliaría a los productos financieros al por menor de conformidad con el Pl</w:t>
      </w:r>
      <w:r>
        <w:rPr>
          <w:rFonts w:ascii="Times New Roman" w:hAnsi="Times New Roman"/>
          <w:noProof/>
          <w:sz w:val="24"/>
          <w:szCs w:val="24"/>
        </w:rPr>
        <w:t>an de acción sobre la financiación del desarrollo sostenible de 2018</w:t>
      </w:r>
      <w:r>
        <w:rPr>
          <w:rStyle w:val="Refdenotaalpie"/>
          <w:rFonts w:ascii="Times New Roman" w:hAnsi="Times New Roman" w:cs="Times New Roman"/>
          <w:noProof/>
          <w:sz w:val="24"/>
          <w:szCs w:val="24"/>
        </w:rPr>
        <w:footnoteReference w:id="45"/>
      </w:r>
      <w:r>
        <w:rPr>
          <w:rFonts w:ascii="Times New Roman" w:hAnsi="Times New Roman"/>
          <w:noProof/>
          <w:sz w:val="24"/>
          <w:szCs w:val="24"/>
        </w:rPr>
        <w:t xml:space="preserve">, permitiendo a los consumidores confiar en una etiqueta fiable y creíble a la hora de invertir en productos financieros ecológicos. </w:t>
      </w:r>
    </w:p>
    <w:p w14:paraId="6614EBD5"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Asimismo, los consumidores deben estar mejor protegi</w:t>
      </w:r>
      <w:r>
        <w:rPr>
          <w:rFonts w:ascii="Times New Roman" w:hAnsi="Times New Roman"/>
          <w:noProof/>
          <w:sz w:val="24"/>
          <w:szCs w:val="24"/>
        </w:rPr>
        <w:t>dos contra la información falsa o que se presente de una manera confusa o engañosa para dar la impresión inexacta de que un producto o una empresa son más respetuosos con el medioambiente, el denominado «</w:t>
      </w:r>
      <w:r>
        <w:rPr>
          <w:rFonts w:ascii="Times New Roman" w:hAnsi="Times New Roman"/>
          <w:b/>
          <w:noProof/>
          <w:sz w:val="24"/>
          <w:szCs w:val="24"/>
        </w:rPr>
        <w:t>blanqueo ecológico</w:t>
      </w:r>
      <w:r>
        <w:rPr>
          <w:rFonts w:ascii="Times New Roman" w:hAnsi="Times New Roman"/>
          <w:noProof/>
          <w:sz w:val="24"/>
          <w:szCs w:val="24"/>
        </w:rPr>
        <w:t xml:space="preserve">». También se están desarrollando </w:t>
      </w:r>
      <w:r>
        <w:rPr>
          <w:rFonts w:ascii="Times New Roman" w:hAnsi="Times New Roman"/>
          <w:noProof/>
          <w:sz w:val="24"/>
          <w:szCs w:val="24"/>
        </w:rPr>
        <w:t>medidas al respecto en el ámbito de las finanzas sostenibles</w:t>
      </w:r>
      <w:r>
        <w:rPr>
          <w:rStyle w:val="Refdenotaalpie"/>
          <w:rFonts w:ascii="Times New Roman" w:hAnsi="Times New Roman" w:cs="Times New Roman"/>
          <w:noProof/>
          <w:sz w:val="24"/>
          <w:szCs w:val="24"/>
          <w:lang w:val="en-GB"/>
        </w:rPr>
        <w:footnoteReference w:id="46"/>
      </w:r>
      <w:r>
        <w:rPr>
          <w:rFonts w:ascii="Times New Roman" w:hAnsi="Times New Roman"/>
          <w:noProof/>
          <w:sz w:val="24"/>
          <w:szCs w:val="24"/>
        </w:rPr>
        <w:t>. Por otra parte, la Comisión propondrá que las empresas fundamenten sus</w:t>
      </w:r>
      <w:r>
        <w:rPr>
          <w:rFonts w:ascii="Times New Roman" w:hAnsi="Times New Roman"/>
          <w:noProof/>
          <w:sz w:val="24"/>
        </w:rPr>
        <w:t xml:space="preserve"> declaraciones </w:t>
      </w:r>
      <w:r>
        <w:rPr>
          <w:rFonts w:ascii="Times New Roman" w:hAnsi="Times New Roman"/>
          <w:noProof/>
          <w:sz w:val="24"/>
          <w:szCs w:val="24"/>
        </w:rPr>
        <w:t xml:space="preserve">ecológicas utilizando los métodos de la </w:t>
      </w:r>
      <w:r>
        <w:rPr>
          <w:rFonts w:ascii="Times New Roman" w:hAnsi="Times New Roman"/>
          <w:noProof/>
          <w:sz w:val="24"/>
        </w:rPr>
        <w:t>huella ambiental de los productos y de las organizaciones</w:t>
      </w:r>
      <w:r>
        <w:rPr>
          <w:rFonts w:ascii="Times New Roman" w:hAnsi="Times New Roman"/>
          <w:noProof/>
          <w:sz w:val="24"/>
          <w:szCs w:val="24"/>
        </w:rPr>
        <w:t xml:space="preserve"> para faci</w:t>
      </w:r>
      <w:r>
        <w:rPr>
          <w:rFonts w:ascii="Times New Roman" w:hAnsi="Times New Roman"/>
          <w:noProof/>
          <w:sz w:val="24"/>
          <w:szCs w:val="24"/>
        </w:rPr>
        <w:t xml:space="preserve">litar a los consumidores información ambiental fiable. </w:t>
      </w:r>
    </w:p>
    <w:p w14:paraId="4BA8470F"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La Comisión estudiará métodos para crear un marco de etiquetado sostenible que abarque, en sinergia con otras iniciativas pertinentes, los aspectos nutricional, climático, medioambiental y social de l</w:t>
      </w:r>
      <w:r>
        <w:rPr>
          <w:rFonts w:ascii="Times New Roman" w:hAnsi="Times New Roman"/>
          <w:noProof/>
          <w:sz w:val="24"/>
          <w:szCs w:val="24"/>
        </w:rPr>
        <w:t xml:space="preserve">os </w:t>
      </w:r>
      <w:r>
        <w:rPr>
          <w:rFonts w:ascii="Times New Roman" w:hAnsi="Times New Roman"/>
          <w:b/>
          <w:noProof/>
          <w:sz w:val="24"/>
          <w:szCs w:val="24"/>
        </w:rPr>
        <w:t>productos alimentarios</w:t>
      </w:r>
      <w:r>
        <w:rPr>
          <w:rFonts w:ascii="Times New Roman" w:hAnsi="Times New Roman"/>
          <w:noProof/>
          <w:sz w:val="24"/>
          <w:szCs w:val="24"/>
        </w:rPr>
        <w:t xml:space="preserve">. </w:t>
      </w:r>
    </w:p>
    <w:p w14:paraId="11BAEDE2" w14:textId="77777777" w:rsidR="00450244" w:rsidRDefault="00EB0B0F">
      <w:pPr>
        <w:spacing w:after="240" w:line="240" w:lineRule="auto"/>
        <w:jc w:val="both"/>
        <w:rPr>
          <w:rFonts w:ascii="Times New Roman" w:hAnsi="Times New Roman" w:cs="Times New Roman"/>
          <w:i/>
          <w:iCs/>
          <w:noProof/>
          <w:sz w:val="24"/>
          <w:szCs w:val="24"/>
        </w:rPr>
      </w:pPr>
      <w:r>
        <w:rPr>
          <w:rFonts w:ascii="Times New Roman" w:hAnsi="Times New Roman"/>
          <w:b/>
          <w:bCs/>
          <w:noProof/>
          <w:sz w:val="24"/>
          <w:szCs w:val="24"/>
        </w:rPr>
        <w:t>La elección de opciones energéticas por parte de los consumidores será fundamental para lograr los nuevos objetivos climáticos para 2030 y la neutralidad climática para 2050</w:t>
      </w:r>
      <w:r>
        <w:rPr>
          <w:rFonts w:ascii="Times New Roman" w:hAnsi="Times New Roman"/>
          <w:noProof/>
          <w:sz w:val="24"/>
          <w:szCs w:val="24"/>
        </w:rPr>
        <w:t xml:space="preserve">. Las nuevas normas que entrarán en vigor el 1 de </w:t>
      </w:r>
      <w:r>
        <w:rPr>
          <w:rFonts w:ascii="Times New Roman" w:hAnsi="Times New Roman"/>
          <w:noProof/>
          <w:sz w:val="24"/>
          <w:szCs w:val="24"/>
        </w:rPr>
        <w:t>enero de 2021</w:t>
      </w:r>
      <w:r>
        <w:rPr>
          <w:rStyle w:val="Refdenotaalpie"/>
          <w:rFonts w:ascii="Times New Roman" w:hAnsi="Times New Roman" w:cs="Times New Roman"/>
          <w:noProof/>
          <w:sz w:val="24"/>
          <w:szCs w:val="24"/>
          <w:lang w:val="en-IE"/>
        </w:rPr>
        <w:footnoteReference w:id="47"/>
      </w:r>
      <w:r>
        <w:rPr>
          <w:rFonts w:ascii="Times New Roman" w:hAnsi="Times New Roman"/>
          <w:noProof/>
          <w:sz w:val="24"/>
          <w:szCs w:val="24"/>
        </w:rPr>
        <w:t xml:space="preserve"> mejorarán la información para los consumidores mediante la factura de electricidad y </w:t>
      </w:r>
      <w:r>
        <w:rPr>
          <w:rFonts w:ascii="Times New Roman" w:hAnsi="Times New Roman"/>
          <w:bCs/>
          <w:noProof/>
          <w:sz w:val="24"/>
          <w:szCs w:val="24"/>
        </w:rPr>
        <w:t>herramientas independientes de comparación de precios, así como la facilitación de las elecciones de los prosumidores y las comunidades energéticas.</w:t>
      </w:r>
      <w:r>
        <w:rPr>
          <w:rFonts w:ascii="Times New Roman" w:hAnsi="Times New Roman"/>
          <w:b/>
          <w:bCs/>
          <w:noProof/>
          <w:sz w:val="24"/>
          <w:szCs w:val="24"/>
        </w:rPr>
        <w:t xml:space="preserve"> </w:t>
      </w:r>
      <w:r>
        <w:rPr>
          <w:rFonts w:ascii="Times New Roman" w:hAnsi="Times New Roman"/>
          <w:noProof/>
          <w:sz w:val="24"/>
          <w:szCs w:val="24"/>
        </w:rPr>
        <w:t>La Com</w:t>
      </w:r>
      <w:r>
        <w:rPr>
          <w:rFonts w:ascii="Times New Roman" w:hAnsi="Times New Roman"/>
          <w:noProof/>
          <w:sz w:val="24"/>
          <w:szCs w:val="24"/>
        </w:rPr>
        <w:t xml:space="preserve">isión propondrá disposiciones para que otros vectores energéticos otorguen derechos similares a los consumidores de gas y calefacción urbana. </w:t>
      </w:r>
    </w:p>
    <w:p w14:paraId="4B44AC00"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lastRenderedPageBreak/>
        <w:t>La transformación digital también ofrece otras oportunidades nuevas para facilitar información más específica y c</w:t>
      </w:r>
      <w:r>
        <w:rPr>
          <w:rFonts w:ascii="Times New Roman" w:hAnsi="Times New Roman"/>
          <w:b/>
          <w:bCs/>
          <w:noProof/>
          <w:sz w:val="24"/>
          <w:szCs w:val="24"/>
        </w:rPr>
        <w:t xml:space="preserve">omprensible. </w:t>
      </w:r>
      <w:r>
        <w:rPr>
          <w:rFonts w:ascii="Times New Roman" w:hAnsi="Times New Roman"/>
          <w:noProof/>
          <w:sz w:val="24"/>
          <w:szCs w:val="24"/>
        </w:rPr>
        <w:t>El desarrollo de pasaportes digitales de productos en el marco de la iniciativa sobre productos sostenibles</w:t>
      </w:r>
      <w:r>
        <w:rPr>
          <w:rFonts w:ascii="Times New Roman" w:hAnsi="Times New Roman" w:cs="Times New Roman"/>
          <w:noProof/>
          <w:sz w:val="24"/>
          <w:szCs w:val="24"/>
          <w:vertAlign w:val="superscript"/>
          <w:lang w:val="en-GB"/>
        </w:rPr>
        <w:footnoteReference w:id="48"/>
      </w:r>
      <w:r>
        <w:rPr>
          <w:rFonts w:ascii="Times New Roman" w:hAnsi="Times New Roman"/>
          <w:noProof/>
          <w:sz w:val="24"/>
          <w:szCs w:val="24"/>
        </w:rPr>
        <w:t xml:space="preserve"> tendría por objeto ayudar a informar a los consumidores sobre los aspectos ambientales y circulares de los productos. En términos más</w:t>
      </w:r>
      <w:r>
        <w:rPr>
          <w:rFonts w:ascii="Times New Roman" w:hAnsi="Times New Roman"/>
          <w:noProof/>
          <w:sz w:val="24"/>
          <w:szCs w:val="24"/>
        </w:rPr>
        <w:t xml:space="preserve"> generales, la información digital podría facultar a los consumidores para verificar la fiabilidad de la información y comparar productos, pero también les informaría de una manera más holística sobre sus repercusiones ambientales, por ejemplo, sobre su hu</w:t>
      </w:r>
      <w:r>
        <w:rPr>
          <w:rFonts w:ascii="Times New Roman" w:hAnsi="Times New Roman"/>
          <w:noProof/>
          <w:sz w:val="24"/>
          <w:szCs w:val="24"/>
        </w:rPr>
        <w:t>ella de carbono. Las medidas y los recursos, incluidos los del Instrumento de Apoyo Técnico para el desarrollo de capacidades</w:t>
      </w:r>
      <w:r>
        <w:rPr>
          <w:rFonts w:ascii="Times New Roman" w:hAnsi="Times New Roman" w:cs="Times New Roman"/>
          <w:noProof/>
          <w:sz w:val="24"/>
          <w:szCs w:val="24"/>
          <w:vertAlign w:val="superscript"/>
          <w:lang w:val="en-GB"/>
        </w:rPr>
        <w:footnoteReference w:id="49"/>
      </w:r>
      <w:r>
        <w:rPr>
          <w:rFonts w:ascii="Times New Roman" w:hAnsi="Times New Roman"/>
          <w:noProof/>
          <w:sz w:val="24"/>
          <w:szCs w:val="24"/>
        </w:rPr>
        <w:t xml:space="preserve"> en el marco del próximo MFP</w:t>
      </w:r>
      <w:r>
        <w:rPr>
          <w:rFonts w:ascii="Segoe UI" w:hAnsi="Segoe UI"/>
          <w:noProof/>
          <w:color w:val="444444"/>
          <w:sz w:val="21"/>
          <w:szCs w:val="21"/>
          <w:shd w:val="clear" w:color="auto" w:fill="FFFFFF"/>
        </w:rPr>
        <w:t xml:space="preserve">, </w:t>
      </w:r>
      <w:r>
        <w:rPr>
          <w:rFonts w:ascii="Times New Roman" w:hAnsi="Times New Roman"/>
          <w:noProof/>
          <w:sz w:val="24"/>
          <w:szCs w:val="24"/>
        </w:rPr>
        <w:t>deben utilizarse para apoyar iniciativas que promuevan y activen una cultura y unos hábitos de cons</w:t>
      </w:r>
      <w:r>
        <w:rPr>
          <w:rFonts w:ascii="Times New Roman" w:hAnsi="Times New Roman"/>
          <w:noProof/>
          <w:sz w:val="24"/>
          <w:szCs w:val="24"/>
        </w:rPr>
        <w:t>umo limpio, sostenible y climáticamente neutro. Esto debe realizarse de forma accesible, innovadora y atractiva, por ejemplo, a través de aplicaciones para teléfonos inteligentes y sitios web</w:t>
      </w:r>
      <w:r>
        <w:rPr>
          <w:rFonts w:ascii="Times New Roman" w:hAnsi="Times New Roman" w:cs="Times New Roman"/>
          <w:noProof/>
          <w:sz w:val="24"/>
          <w:szCs w:val="24"/>
          <w:vertAlign w:val="superscript"/>
          <w:lang w:val="en-GB"/>
        </w:rPr>
        <w:footnoteReference w:id="50"/>
      </w:r>
      <w:r>
        <w:rPr>
          <w:rFonts w:ascii="Times New Roman" w:hAnsi="Times New Roman"/>
          <w:noProof/>
          <w:sz w:val="24"/>
          <w:szCs w:val="24"/>
        </w:rPr>
        <w:t>, y aprovechando las herramientas existentes</w:t>
      </w:r>
      <w:r>
        <w:rPr>
          <w:rFonts w:ascii="Times New Roman" w:hAnsi="Times New Roman" w:cs="Times New Roman"/>
          <w:noProof/>
          <w:sz w:val="24"/>
          <w:szCs w:val="24"/>
          <w:vertAlign w:val="superscript"/>
          <w:lang w:val="en-GB"/>
        </w:rPr>
        <w:footnoteReference w:id="51"/>
      </w:r>
      <w:r>
        <w:rPr>
          <w:rFonts w:ascii="Times New Roman" w:hAnsi="Times New Roman"/>
          <w:noProof/>
          <w:sz w:val="24"/>
          <w:szCs w:val="24"/>
        </w:rPr>
        <w:t>.</w:t>
      </w:r>
    </w:p>
    <w:p w14:paraId="24875EFB"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Las </w:t>
      </w:r>
      <w:r>
        <w:rPr>
          <w:rFonts w:ascii="Times New Roman" w:hAnsi="Times New Roman"/>
          <w:b/>
          <w:bCs/>
          <w:noProof/>
          <w:sz w:val="24"/>
          <w:szCs w:val="24"/>
        </w:rPr>
        <w:t>empresas</w:t>
      </w:r>
      <w:r>
        <w:rPr>
          <w:rFonts w:ascii="Times New Roman" w:hAnsi="Times New Roman"/>
          <w:noProof/>
          <w:sz w:val="24"/>
          <w:szCs w:val="24"/>
        </w:rPr>
        <w:t>, i</w:t>
      </w:r>
      <w:r>
        <w:rPr>
          <w:rFonts w:ascii="Times New Roman" w:hAnsi="Times New Roman"/>
          <w:noProof/>
          <w:sz w:val="24"/>
          <w:szCs w:val="24"/>
        </w:rPr>
        <w:t xml:space="preserve">ncluidas las pymes, podrían desempeñar un papel importante en el afán de un consumo más ecológico. La integración de objetivos de sostenibilidad en las estrategias y la toma de decisiones empresariales podría llevar a una mayor disponibilidad de productos </w:t>
      </w:r>
      <w:r>
        <w:rPr>
          <w:rFonts w:ascii="Times New Roman" w:hAnsi="Times New Roman"/>
          <w:noProof/>
          <w:sz w:val="24"/>
          <w:szCs w:val="24"/>
        </w:rPr>
        <w:t>sostenibles. Son ejemplos de buenas prácticas desde el control de las repercusiones en el medioambiente y el capital natural, las dependencias y los riesgos a lo largo de toda la cadena de valor y la inclusión de información ambiental en las comunicaciones</w:t>
      </w:r>
      <w:r>
        <w:rPr>
          <w:rFonts w:ascii="Times New Roman" w:hAnsi="Times New Roman"/>
          <w:noProof/>
          <w:sz w:val="24"/>
          <w:szCs w:val="24"/>
        </w:rPr>
        <w:t xml:space="preserve"> a los consumidores hasta la consideración de los intereses de los consumidores en las decisiones de los consejos de administración. La Comisión prevé presentar en 2021 una iniciativa legislativa de </w:t>
      </w:r>
      <w:r>
        <w:rPr>
          <w:rFonts w:ascii="Times New Roman" w:hAnsi="Times New Roman"/>
          <w:b/>
          <w:bCs/>
          <w:noProof/>
          <w:sz w:val="24"/>
          <w:szCs w:val="24"/>
        </w:rPr>
        <w:t>gobernanza empresarial sostenible</w:t>
      </w:r>
      <w:r>
        <w:rPr>
          <w:rFonts w:ascii="Times New Roman" w:hAnsi="Times New Roman"/>
          <w:noProof/>
          <w:sz w:val="24"/>
          <w:szCs w:val="24"/>
        </w:rPr>
        <w:t xml:space="preserve"> para fomentar el compor</w:t>
      </w:r>
      <w:r>
        <w:rPr>
          <w:rFonts w:ascii="Times New Roman" w:hAnsi="Times New Roman"/>
          <w:noProof/>
          <w:sz w:val="24"/>
          <w:szCs w:val="24"/>
        </w:rPr>
        <w:t>tamiento empresarial sostenible y responsable a largo plazo</w:t>
      </w:r>
      <w:r>
        <w:rPr>
          <w:rFonts w:ascii="Times New Roman" w:hAnsi="Times New Roman" w:cs="Times New Roman"/>
          <w:noProof/>
          <w:sz w:val="24"/>
          <w:szCs w:val="24"/>
          <w:vertAlign w:val="superscript"/>
          <w:lang w:val="en-GB"/>
        </w:rPr>
        <w:footnoteReference w:id="52"/>
      </w:r>
      <w:r>
        <w:rPr>
          <w:rFonts w:ascii="Times New Roman" w:hAnsi="Times New Roman"/>
          <w:noProof/>
          <w:sz w:val="24"/>
          <w:szCs w:val="24"/>
        </w:rPr>
        <w:t xml:space="preserve">. Para promover más actuaciones empresariales voluntarias, la Comisión prevé trabajar con los operadores económicos a fin de alentarles a formular </w:t>
      </w:r>
      <w:r>
        <w:rPr>
          <w:rFonts w:ascii="Times New Roman" w:hAnsi="Times New Roman"/>
          <w:b/>
          <w:bCs/>
          <w:noProof/>
          <w:sz w:val="24"/>
          <w:szCs w:val="24"/>
        </w:rPr>
        <w:t>promesas voluntarias</w:t>
      </w:r>
      <w:r>
        <w:rPr>
          <w:rFonts w:ascii="Times New Roman" w:hAnsi="Times New Roman"/>
          <w:noProof/>
          <w:sz w:val="24"/>
          <w:szCs w:val="24"/>
        </w:rPr>
        <w:t xml:space="preserve"> para</w:t>
      </w:r>
      <w:r>
        <w:rPr>
          <w:rFonts w:ascii="Times New Roman" w:hAnsi="Times New Roman"/>
          <w:noProof/>
          <w:sz w:val="28"/>
          <w:szCs w:val="28"/>
        </w:rPr>
        <w:t xml:space="preserve"> </w:t>
      </w:r>
      <w:r>
        <w:rPr>
          <w:rFonts w:ascii="Times New Roman" w:hAnsi="Times New Roman"/>
          <w:noProof/>
          <w:sz w:val="24"/>
          <w:szCs w:val="24"/>
        </w:rPr>
        <w:t>dar a conocer a los co</w:t>
      </w:r>
      <w:r>
        <w:rPr>
          <w:rFonts w:ascii="Times New Roman" w:hAnsi="Times New Roman"/>
          <w:noProof/>
          <w:sz w:val="24"/>
          <w:szCs w:val="24"/>
        </w:rPr>
        <w:t>nsumidores la huella ambiental de la empresa, mejorar su sostenibilidad y reducir el impacto sobre el medioambiente. Estas promesas se realizarán en sinergia con el próximo Pacto Europeo por el Clima. Se basarán en las metodologías, las herramientas y la l</w:t>
      </w:r>
      <w:r>
        <w:rPr>
          <w:rFonts w:ascii="Times New Roman" w:hAnsi="Times New Roman"/>
          <w:noProof/>
          <w:sz w:val="24"/>
          <w:szCs w:val="24"/>
        </w:rPr>
        <w:t>egislación aplicable existentes</w:t>
      </w:r>
      <w:r>
        <w:rPr>
          <w:rFonts w:ascii="Times New Roman" w:hAnsi="Times New Roman" w:cs="Times New Roman"/>
          <w:noProof/>
          <w:sz w:val="24"/>
          <w:szCs w:val="24"/>
          <w:vertAlign w:val="superscript"/>
          <w:lang w:val="en-GB"/>
        </w:rPr>
        <w:footnoteReference w:id="53"/>
      </w:r>
      <w:r>
        <w:rPr>
          <w:rFonts w:ascii="Times New Roman" w:hAnsi="Times New Roman"/>
          <w:noProof/>
          <w:sz w:val="24"/>
          <w:szCs w:val="24"/>
        </w:rPr>
        <w:t xml:space="preserve">. Con el paso del tiempo, estas promesas podrían incorporar participantes de una amplia gama de sectores, sobre la base de compromisos cada vez más diversos. </w:t>
      </w:r>
    </w:p>
    <w:p w14:paraId="78539AFF" w14:textId="77777777" w:rsidR="00450244" w:rsidRDefault="00EB0B0F">
      <w:pPr>
        <w:numPr>
          <w:ilvl w:val="0"/>
          <w:numId w:val="12"/>
        </w:numPr>
        <w:pBdr>
          <w:top w:val="single" w:sz="4" w:space="1" w:color="auto"/>
          <w:left w:val="single" w:sz="4" w:space="4" w:color="auto"/>
          <w:bottom w:val="single" w:sz="4" w:space="6" w:color="auto"/>
          <w:right w:val="single" w:sz="4" w:space="4" w:color="auto"/>
        </w:pBd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Acción 4: </w:t>
      </w:r>
      <w:r>
        <w:rPr>
          <w:rFonts w:ascii="Times New Roman" w:hAnsi="Times New Roman"/>
          <w:noProof/>
          <w:sz w:val="24"/>
          <w:szCs w:val="24"/>
        </w:rPr>
        <w:t xml:space="preserve">En 2021, la Comisión prevé presentar una </w:t>
      </w:r>
      <w:r>
        <w:rPr>
          <w:rFonts w:ascii="Times New Roman" w:hAnsi="Times New Roman"/>
          <w:b/>
          <w:bCs/>
          <w:noProof/>
          <w:sz w:val="24"/>
          <w:szCs w:val="24"/>
        </w:rPr>
        <w:t>propuesta legislativa</w:t>
      </w:r>
      <w:r>
        <w:rPr>
          <w:rFonts w:ascii="Times New Roman" w:hAnsi="Times New Roman"/>
          <w:b/>
          <w:noProof/>
          <w:sz w:val="24"/>
          <w:szCs w:val="24"/>
        </w:rPr>
        <w:t xml:space="preserve"> sobre el empoderamiento de los consumidores para </w:t>
      </w:r>
      <w:r>
        <w:rPr>
          <w:rFonts w:ascii="Times New Roman" w:hAnsi="Times New Roman"/>
          <w:b/>
          <w:bCs/>
          <w:noProof/>
          <w:sz w:val="24"/>
          <w:szCs w:val="24"/>
        </w:rPr>
        <w:t>la transición ecológica</w:t>
      </w:r>
      <w:r>
        <w:rPr>
          <w:rFonts w:ascii="Times New Roman" w:hAnsi="Times New Roman"/>
          <w:noProof/>
          <w:sz w:val="24"/>
          <w:szCs w:val="24"/>
        </w:rPr>
        <w:t xml:space="preserve"> con mejor información sobre la sostenibilidad de los productos y mejor protección contra ciertas prácticas, tales como e</w:t>
      </w:r>
      <w:r>
        <w:rPr>
          <w:rFonts w:ascii="Times New Roman" w:hAnsi="Times New Roman"/>
          <w:noProof/>
          <w:sz w:val="24"/>
          <w:szCs w:val="24"/>
        </w:rPr>
        <w:t xml:space="preserve">l blanqueo ecológico y la obsolescencia temprana, así como </w:t>
      </w:r>
      <w:r>
        <w:rPr>
          <w:rFonts w:ascii="Times New Roman" w:hAnsi="Times New Roman"/>
          <w:noProof/>
          <w:sz w:val="24"/>
          <w:szCs w:val="24"/>
        </w:rPr>
        <w:lastRenderedPageBreak/>
        <w:t xml:space="preserve">una </w:t>
      </w:r>
      <w:r>
        <w:rPr>
          <w:rFonts w:ascii="Times New Roman" w:hAnsi="Times New Roman"/>
          <w:b/>
          <w:noProof/>
          <w:sz w:val="24"/>
          <w:szCs w:val="24"/>
        </w:rPr>
        <w:t xml:space="preserve">propuesta legislativa sobre la justificación de </w:t>
      </w:r>
      <w:r>
        <w:rPr>
          <w:rFonts w:ascii="Times New Roman" w:hAnsi="Times New Roman"/>
          <w:b/>
          <w:bCs/>
          <w:noProof/>
          <w:sz w:val="24"/>
          <w:szCs w:val="24"/>
        </w:rPr>
        <w:t>las alegaciones ecológicas</w:t>
      </w:r>
      <w:r>
        <w:rPr>
          <w:rFonts w:ascii="Times New Roman" w:hAnsi="Times New Roman"/>
          <w:noProof/>
          <w:sz w:val="24"/>
          <w:szCs w:val="24"/>
        </w:rPr>
        <w:t xml:space="preserve"> sobre la base de los métodos de la huella ambiental.</w:t>
      </w:r>
    </w:p>
    <w:p w14:paraId="3A6E2458" w14:textId="77777777" w:rsidR="00450244" w:rsidRDefault="00450244">
      <w:pPr>
        <w:pBdr>
          <w:top w:val="single" w:sz="4" w:space="1" w:color="auto"/>
          <w:left w:val="single" w:sz="4" w:space="4" w:color="auto"/>
          <w:bottom w:val="single" w:sz="4" w:space="6" w:color="auto"/>
          <w:right w:val="single" w:sz="4" w:space="4" w:color="auto"/>
        </w:pBdr>
        <w:spacing w:after="240" w:line="240" w:lineRule="auto"/>
        <w:ind w:left="360"/>
        <w:contextualSpacing/>
        <w:jc w:val="both"/>
        <w:rPr>
          <w:rFonts w:ascii="Times New Roman" w:hAnsi="Times New Roman" w:cs="Times New Roman"/>
          <w:b/>
          <w:bCs/>
          <w:noProof/>
          <w:sz w:val="24"/>
          <w:szCs w:val="24"/>
          <w:lang w:val="es-ES_tradnl"/>
        </w:rPr>
      </w:pPr>
    </w:p>
    <w:p w14:paraId="2E75199D" w14:textId="77777777" w:rsidR="00450244" w:rsidRDefault="00EB0B0F">
      <w:pPr>
        <w:numPr>
          <w:ilvl w:val="0"/>
          <w:numId w:val="12"/>
        </w:numPr>
        <w:pBdr>
          <w:top w:val="single" w:sz="4" w:space="1" w:color="auto"/>
          <w:left w:val="single" w:sz="4" w:space="4" w:color="auto"/>
          <w:bottom w:val="single" w:sz="4" w:space="6" w:color="auto"/>
          <w:right w:val="single" w:sz="4" w:space="4" w:color="auto"/>
        </w:pBd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Acción 5: a partir de este año, </w:t>
      </w:r>
      <w:r>
        <w:rPr>
          <w:rFonts w:ascii="Times New Roman" w:hAnsi="Times New Roman"/>
          <w:noProof/>
          <w:sz w:val="24"/>
          <w:szCs w:val="24"/>
        </w:rPr>
        <w:t xml:space="preserve">la Comisión prevé trabajar con los operadores económicos para animarlos a formular </w:t>
      </w:r>
      <w:r>
        <w:rPr>
          <w:rFonts w:ascii="Times New Roman" w:hAnsi="Times New Roman"/>
          <w:b/>
          <w:bCs/>
          <w:noProof/>
          <w:sz w:val="24"/>
          <w:szCs w:val="24"/>
        </w:rPr>
        <w:t>promesas voluntarias</w:t>
      </w:r>
      <w:r>
        <w:rPr>
          <w:rFonts w:ascii="Times New Roman" w:hAnsi="Times New Roman"/>
          <w:noProof/>
          <w:sz w:val="24"/>
          <w:szCs w:val="24"/>
        </w:rPr>
        <w:t xml:space="preserve"> para adoptar medidas en apoyo del consumo sostenible más allá de lo exigido por la ley</w:t>
      </w:r>
      <w:r>
        <w:rPr>
          <w:rFonts w:ascii="Calibri" w:hAnsi="Calibri"/>
          <w:b/>
          <w:bCs/>
          <w:noProof/>
        </w:rPr>
        <w:t>.</w:t>
      </w:r>
    </w:p>
    <w:p w14:paraId="5D64671D" w14:textId="77777777" w:rsidR="00450244" w:rsidRDefault="00450244">
      <w:pPr>
        <w:pBdr>
          <w:top w:val="single" w:sz="4" w:space="1" w:color="auto"/>
          <w:left w:val="single" w:sz="4" w:space="4" w:color="auto"/>
          <w:bottom w:val="single" w:sz="4" w:space="6" w:color="auto"/>
          <w:right w:val="single" w:sz="4" w:space="4" w:color="auto"/>
        </w:pBdr>
        <w:spacing w:after="240" w:line="240" w:lineRule="auto"/>
        <w:ind w:left="360"/>
        <w:contextualSpacing/>
        <w:jc w:val="both"/>
        <w:rPr>
          <w:rFonts w:ascii="Times New Roman" w:hAnsi="Times New Roman" w:cs="Times New Roman"/>
          <w:b/>
          <w:bCs/>
          <w:noProof/>
          <w:sz w:val="24"/>
          <w:szCs w:val="24"/>
          <w:lang w:val="es-ES_tradnl"/>
        </w:rPr>
      </w:pPr>
    </w:p>
    <w:p w14:paraId="6FD49D85" w14:textId="77777777" w:rsidR="00450244" w:rsidRDefault="00EB0B0F">
      <w:pPr>
        <w:numPr>
          <w:ilvl w:val="0"/>
          <w:numId w:val="12"/>
        </w:numPr>
        <w:pBdr>
          <w:top w:val="single" w:sz="4" w:space="1" w:color="auto"/>
          <w:left w:val="single" w:sz="4" w:space="4" w:color="auto"/>
          <w:bottom w:val="single" w:sz="4" w:space="6" w:color="auto"/>
          <w:right w:val="single" w:sz="4" w:space="4" w:color="auto"/>
        </w:pBd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Acción 6: </w:t>
      </w:r>
      <w:r>
        <w:rPr>
          <w:rFonts w:ascii="Times New Roman" w:hAnsi="Times New Roman"/>
          <w:noProof/>
          <w:sz w:val="24"/>
          <w:szCs w:val="24"/>
        </w:rPr>
        <w:t xml:space="preserve">A partir de 2022, la Comisión examinará, en el marco </w:t>
      </w:r>
      <w:r>
        <w:rPr>
          <w:rFonts w:ascii="Times New Roman" w:hAnsi="Times New Roman"/>
          <w:noProof/>
          <w:sz w:val="24"/>
          <w:szCs w:val="24"/>
        </w:rPr>
        <w:t xml:space="preserve">de la revisión de la Directiva sobre la compraventa de bienes, la manera de </w:t>
      </w:r>
      <w:r>
        <w:rPr>
          <w:rFonts w:ascii="Times New Roman" w:hAnsi="Times New Roman"/>
          <w:b/>
          <w:bCs/>
          <w:noProof/>
          <w:sz w:val="24"/>
          <w:szCs w:val="24"/>
        </w:rPr>
        <w:t>promover aún más la reparación y fomentar el uso de productos «circulares» más sostenibles</w:t>
      </w:r>
      <w:r>
        <w:rPr>
          <w:rFonts w:ascii="Times New Roman" w:hAnsi="Times New Roman"/>
          <w:noProof/>
          <w:sz w:val="24"/>
          <w:szCs w:val="24"/>
        </w:rPr>
        <w:t>.</w:t>
      </w:r>
      <w:r>
        <w:rPr>
          <w:rFonts w:ascii="Times New Roman" w:hAnsi="Times New Roman"/>
          <w:noProof/>
          <w:sz w:val="24"/>
          <w:szCs w:val="24"/>
          <w:u w:val="single"/>
        </w:rPr>
        <w:t xml:space="preserve"> </w:t>
      </w:r>
    </w:p>
    <w:p w14:paraId="4AABFD4A" w14:textId="77777777" w:rsidR="00450244" w:rsidRDefault="00450244">
      <w:pPr>
        <w:spacing w:after="240" w:line="240" w:lineRule="auto"/>
        <w:ind w:left="720"/>
        <w:contextualSpacing/>
        <w:jc w:val="both"/>
        <w:rPr>
          <w:rFonts w:ascii="Times New Roman" w:hAnsi="Times New Roman" w:cs="Times New Roman"/>
          <w:b/>
          <w:bCs/>
          <w:noProof/>
          <w:sz w:val="24"/>
          <w:szCs w:val="24"/>
          <w:lang w:val="es-ES_tradnl"/>
        </w:rPr>
      </w:pPr>
    </w:p>
    <w:p w14:paraId="4320D108" w14:textId="77777777" w:rsidR="00450244" w:rsidRDefault="00450244">
      <w:pPr>
        <w:spacing w:after="240" w:line="240" w:lineRule="auto"/>
        <w:ind w:left="720"/>
        <w:contextualSpacing/>
        <w:jc w:val="both"/>
        <w:rPr>
          <w:rFonts w:ascii="Times New Roman" w:hAnsi="Times New Roman" w:cs="Times New Roman"/>
          <w:b/>
          <w:bCs/>
          <w:noProof/>
          <w:sz w:val="24"/>
          <w:szCs w:val="24"/>
          <w:lang w:val="es-ES_tradnl"/>
        </w:rPr>
      </w:pPr>
    </w:p>
    <w:p w14:paraId="5CFFEEE1" w14:textId="77777777" w:rsidR="00450244" w:rsidRDefault="00EB0B0F">
      <w:pPr>
        <w:numPr>
          <w:ilvl w:val="1"/>
          <w:numId w:val="1"/>
        </w:numPr>
        <w:spacing w:after="24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 Transformación digital</w:t>
      </w:r>
    </w:p>
    <w:p w14:paraId="617C18CF" w14:textId="77777777" w:rsidR="00450244" w:rsidRDefault="00EB0B0F">
      <w:pPr>
        <w:pBdr>
          <w:top w:val="single" w:sz="4" w:space="1" w:color="auto"/>
          <w:left w:val="single" w:sz="4" w:space="0" w:color="auto"/>
          <w:bottom w:val="single" w:sz="4" w:space="6" w:color="auto"/>
          <w:right w:val="single" w:sz="4" w:space="4" w:color="auto"/>
        </w:pBdr>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Ejemplo: Entre 2014 y 2019, el porcentaje de usuarios de inte</w:t>
      </w:r>
      <w:r>
        <w:rPr>
          <w:rFonts w:ascii="Times New Roman" w:hAnsi="Times New Roman"/>
          <w:i/>
          <w:iCs/>
          <w:noProof/>
          <w:sz w:val="24"/>
          <w:szCs w:val="24"/>
        </w:rPr>
        <w:t>rnet en la UE que compraron o encargaron bienes o servicios en línea para uso privado aumentó del 63 % al 71 %; en cinco Estados miembros</w:t>
      </w:r>
      <w:r>
        <w:rPr>
          <w:rFonts w:ascii="Times New Roman" w:hAnsi="Times New Roman" w:cs="Times New Roman"/>
          <w:i/>
          <w:iCs/>
          <w:noProof/>
          <w:sz w:val="24"/>
          <w:szCs w:val="24"/>
          <w:vertAlign w:val="superscript"/>
          <w:lang w:val="en-GB"/>
        </w:rPr>
        <w:footnoteReference w:id="54"/>
      </w:r>
      <w:r>
        <w:rPr>
          <w:rFonts w:ascii="Times New Roman" w:hAnsi="Times New Roman"/>
          <w:i/>
          <w:iCs/>
          <w:noProof/>
          <w:sz w:val="24"/>
          <w:szCs w:val="24"/>
        </w:rPr>
        <w:t>, esas cifras superaron el 80 %</w:t>
      </w:r>
      <w:r>
        <w:rPr>
          <w:rFonts w:ascii="Times New Roman" w:hAnsi="Times New Roman" w:cs="Times New Roman"/>
          <w:i/>
          <w:iCs/>
          <w:noProof/>
          <w:sz w:val="24"/>
          <w:szCs w:val="24"/>
          <w:vertAlign w:val="superscript"/>
          <w:lang w:val="en-GB"/>
        </w:rPr>
        <w:footnoteReference w:id="55"/>
      </w:r>
      <w:r>
        <w:rPr>
          <w:rFonts w:ascii="Times New Roman" w:hAnsi="Times New Roman"/>
          <w:i/>
          <w:iCs/>
          <w:noProof/>
          <w:sz w:val="24"/>
          <w:szCs w:val="24"/>
        </w:rPr>
        <w:t xml:space="preserve">. Los consumidores deben estar protegidos, en un nivel comparable, en línea y fuera de línea. Las normas deben adaptarse al entorno </w:t>
      </w:r>
      <w:r>
        <w:rPr>
          <w:rFonts w:ascii="Times New Roman" w:hAnsi="Times New Roman"/>
          <w:iCs/>
          <w:noProof/>
          <w:sz w:val="24"/>
          <w:szCs w:val="24"/>
        </w:rPr>
        <w:t>«conectado»</w:t>
      </w:r>
      <w:r>
        <w:rPr>
          <w:rFonts w:ascii="Times New Roman" w:hAnsi="Times New Roman"/>
          <w:i/>
          <w:iCs/>
          <w:noProof/>
          <w:sz w:val="24"/>
          <w:szCs w:val="24"/>
        </w:rPr>
        <w:t xml:space="preserve"> para garantizar que, por ejemplo, </w:t>
      </w:r>
      <w:r>
        <w:rPr>
          <w:rFonts w:ascii="Times New Roman" w:hAnsi="Times New Roman"/>
          <w:i/>
          <w:noProof/>
          <w:sz w:val="24"/>
          <w:szCs w:val="24"/>
        </w:rPr>
        <w:t xml:space="preserve">los dispositivos inteligentes de uso doméstico no estén sujetos a </w:t>
      </w:r>
      <w:r>
        <w:rPr>
          <w:rFonts w:ascii="Times New Roman" w:hAnsi="Times New Roman"/>
          <w:i/>
          <w:noProof/>
          <w:sz w:val="24"/>
          <w:szCs w:val="24"/>
        </w:rPr>
        <w:t>riesgos de ciberseguridad</w:t>
      </w:r>
      <w:r>
        <w:rPr>
          <w:rFonts w:ascii="Times New Roman" w:hAnsi="Times New Roman"/>
          <w:i/>
          <w:iCs/>
          <w:noProof/>
          <w:sz w:val="24"/>
          <w:szCs w:val="24"/>
        </w:rPr>
        <w:t xml:space="preserve"> y que las</w:t>
      </w:r>
      <w:r>
        <w:rPr>
          <w:rFonts w:ascii="Times New Roman" w:hAnsi="Times New Roman"/>
          <w:i/>
          <w:noProof/>
          <w:sz w:val="24"/>
          <w:szCs w:val="24"/>
        </w:rPr>
        <w:t xml:space="preserve"> ofertas de crédito </w:t>
      </w:r>
      <w:r>
        <w:rPr>
          <w:rFonts w:ascii="Times New Roman" w:hAnsi="Times New Roman"/>
          <w:i/>
          <w:iCs/>
          <w:noProof/>
          <w:sz w:val="24"/>
          <w:szCs w:val="24"/>
        </w:rPr>
        <w:t>en línea faciliten la información necesaria de una manera que sea fácilmente legible y accesible en un teléfono inteligente.</w:t>
      </w:r>
    </w:p>
    <w:p w14:paraId="70D0ACB1"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La transformación digital está cambiando de forma radical las vidas de los c</w:t>
      </w:r>
      <w:r>
        <w:rPr>
          <w:rFonts w:ascii="Times New Roman" w:hAnsi="Times New Roman"/>
          <w:b/>
          <w:bCs/>
          <w:noProof/>
          <w:sz w:val="24"/>
          <w:szCs w:val="24"/>
        </w:rPr>
        <w:t>onsumidores</w:t>
      </w:r>
      <w:r>
        <w:rPr>
          <w:rFonts w:ascii="Times New Roman" w:hAnsi="Times New Roman"/>
          <w:noProof/>
          <w:sz w:val="24"/>
          <w:szCs w:val="24"/>
        </w:rPr>
        <w:t>, brindándoles más oportunidades y ofreciéndoles una mayor variedad de bienes y servicios. Al mismo tiempo, puede hacer que les resulte más difícil tomar decisiones informadas y proteger sus intereses. La recopilación y el tratamiento de los dat</w:t>
      </w:r>
      <w:r>
        <w:rPr>
          <w:rFonts w:ascii="Times New Roman" w:hAnsi="Times New Roman"/>
          <w:noProof/>
          <w:sz w:val="24"/>
          <w:szCs w:val="24"/>
        </w:rPr>
        <w:t>os correspondientes en combinación con el análisis del comportamiento de los consumidores y de sus sesgos cognitivos pueden utilizarse para influir en ellos y hacer que tomen decisiones que pueden ir en contra de sus intereses. Esto puede limitar la eficac</w:t>
      </w:r>
      <w:r>
        <w:rPr>
          <w:rFonts w:ascii="Times New Roman" w:hAnsi="Times New Roman"/>
          <w:noProof/>
          <w:sz w:val="24"/>
          <w:szCs w:val="24"/>
        </w:rPr>
        <w:t>ia de las normas actuales diseñadas para proteger a los consumidores en el entorno digital, entre otras cosas, contra las prácticas comerciales desleales. La Directiva sobre la mejora de la aplicación y la modernización de las normas de protección de los c</w:t>
      </w:r>
      <w:r>
        <w:rPr>
          <w:rFonts w:ascii="Times New Roman" w:hAnsi="Times New Roman"/>
          <w:noProof/>
          <w:sz w:val="24"/>
          <w:szCs w:val="24"/>
        </w:rPr>
        <w:t>onsumidores</w:t>
      </w:r>
      <w:r>
        <w:rPr>
          <w:rFonts w:ascii="Times New Roman" w:hAnsi="Times New Roman" w:cs="Times New Roman"/>
          <w:noProof/>
          <w:sz w:val="24"/>
          <w:szCs w:val="24"/>
          <w:vertAlign w:val="superscript"/>
        </w:rPr>
        <w:footnoteReference w:id="56"/>
      </w:r>
      <w:r>
        <w:rPr>
          <w:rFonts w:ascii="Times New Roman" w:hAnsi="Times New Roman"/>
          <w:noProof/>
          <w:sz w:val="24"/>
          <w:szCs w:val="24"/>
        </w:rPr>
        <w:t xml:space="preserve"> y la Directiva relativa a los contenidos digitales</w:t>
      </w:r>
      <w:r>
        <w:rPr>
          <w:rFonts w:ascii="Times New Roman" w:hAnsi="Times New Roman" w:cs="Times New Roman"/>
          <w:noProof/>
          <w:sz w:val="24"/>
          <w:szCs w:val="24"/>
          <w:vertAlign w:val="superscript"/>
        </w:rPr>
        <w:footnoteReference w:id="57"/>
      </w:r>
      <w:r>
        <w:rPr>
          <w:rFonts w:ascii="Times New Roman" w:hAnsi="Times New Roman"/>
          <w:noProof/>
          <w:sz w:val="24"/>
          <w:szCs w:val="24"/>
        </w:rPr>
        <w:t xml:space="preserve"> constituyen pasos importantes para abordar algunos de estos desafíos. Teniendo en cuenta el ritmo acelerado de los avances tecnológicos y su impacto en la experiencia de los consumidores, s</w:t>
      </w:r>
      <w:r>
        <w:rPr>
          <w:rFonts w:ascii="Times New Roman" w:hAnsi="Times New Roman"/>
          <w:noProof/>
          <w:sz w:val="24"/>
          <w:szCs w:val="24"/>
        </w:rPr>
        <w:t xml:space="preserve">e necesitan medidas adicionales. </w:t>
      </w:r>
    </w:p>
    <w:p w14:paraId="107DE6EF"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Deben abordarse las prácticas comerciales que pasan por alto el derecho de los consumidores a tomar decisiones informadas, hacen un uso fraudulento de sus sesgos de comportamiento o </w:t>
      </w:r>
      <w:r>
        <w:rPr>
          <w:rFonts w:ascii="Times New Roman" w:hAnsi="Times New Roman"/>
          <w:noProof/>
          <w:sz w:val="24"/>
          <w:szCs w:val="24"/>
        </w:rPr>
        <w:lastRenderedPageBreak/>
        <w:t>distorsionan sus procesos de toma de dec</w:t>
      </w:r>
      <w:r>
        <w:rPr>
          <w:rFonts w:ascii="Times New Roman" w:hAnsi="Times New Roman"/>
          <w:noProof/>
          <w:sz w:val="24"/>
          <w:szCs w:val="24"/>
        </w:rPr>
        <w:t>isiones. Estas prácticas incluyen el uso de patrones «oscuros»</w:t>
      </w:r>
      <w:r>
        <w:rPr>
          <w:rFonts w:ascii="Times New Roman" w:hAnsi="Times New Roman" w:cs="Times New Roman"/>
          <w:noProof/>
          <w:sz w:val="24"/>
          <w:szCs w:val="24"/>
          <w:vertAlign w:val="superscript"/>
          <w:lang w:val="en-GB"/>
        </w:rPr>
        <w:footnoteReference w:id="58"/>
      </w:r>
      <w:r>
        <w:rPr>
          <w:rFonts w:ascii="Times New Roman" w:hAnsi="Times New Roman"/>
          <w:noProof/>
          <w:sz w:val="24"/>
          <w:szCs w:val="24"/>
        </w:rPr>
        <w:t>, determinadas prácticas de personalización que a menudo se basan en la elaboración de perfiles, la publicidad encubierta, el fraude, la información falsa o engañosa y los comentarios manipula</w:t>
      </w:r>
      <w:r>
        <w:rPr>
          <w:rFonts w:ascii="Times New Roman" w:hAnsi="Times New Roman"/>
          <w:noProof/>
          <w:sz w:val="24"/>
          <w:szCs w:val="24"/>
        </w:rPr>
        <w:t xml:space="preserve">dos de consumidores. Se requieren orientaciones adicionales sobre la aplicabilidad de los instrumentos de Derecho en materia de protección de los consumidores, tales como la </w:t>
      </w:r>
      <w:r>
        <w:rPr>
          <w:rFonts w:ascii="Times New Roman" w:hAnsi="Times New Roman"/>
          <w:b/>
          <w:noProof/>
          <w:sz w:val="24"/>
          <w:szCs w:val="24"/>
        </w:rPr>
        <w:t>Directiva sobre las prácticas comerciales desleales</w:t>
      </w:r>
      <w:r>
        <w:rPr>
          <w:rFonts w:ascii="Times New Roman" w:hAnsi="Times New Roman"/>
          <w:noProof/>
          <w:sz w:val="24"/>
          <w:szCs w:val="24"/>
        </w:rPr>
        <w:t xml:space="preserve"> y la </w:t>
      </w:r>
      <w:r>
        <w:rPr>
          <w:rFonts w:ascii="Times New Roman" w:hAnsi="Times New Roman"/>
          <w:b/>
          <w:noProof/>
          <w:sz w:val="24"/>
          <w:szCs w:val="24"/>
        </w:rPr>
        <w:t>Directiva sobre los derec</w:t>
      </w:r>
      <w:r>
        <w:rPr>
          <w:rFonts w:ascii="Times New Roman" w:hAnsi="Times New Roman"/>
          <w:b/>
          <w:noProof/>
          <w:sz w:val="24"/>
          <w:szCs w:val="24"/>
        </w:rPr>
        <w:t>hos de los consumidores</w:t>
      </w:r>
      <w:r>
        <w:rPr>
          <w:rFonts w:ascii="Times New Roman" w:hAnsi="Times New Roman"/>
          <w:noProof/>
          <w:sz w:val="24"/>
          <w:szCs w:val="24"/>
        </w:rPr>
        <w:t xml:space="preserve">, a estas prácticas. En última instancia, los consumidores deben gozar de </w:t>
      </w:r>
      <w:r>
        <w:rPr>
          <w:rFonts w:ascii="Times New Roman" w:hAnsi="Times New Roman"/>
          <w:b/>
          <w:bCs/>
          <w:noProof/>
          <w:sz w:val="24"/>
          <w:szCs w:val="24"/>
        </w:rPr>
        <w:t>un nivel de protección y equidad en línea comparable al que tienen fuera de línea</w:t>
      </w:r>
      <w:r>
        <w:rPr>
          <w:rFonts w:ascii="Times New Roman" w:hAnsi="Times New Roman"/>
          <w:noProof/>
          <w:sz w:val="24"/>
          <w:szCs w:val="24"/>
        </w:rPr>
        <w:t>.</w:t>
      </w:r>
    </w:p>
    <w:p w14:paraId="49111034"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fin de garantizar que los consumidores aprovechen al máximo el considerabl</w:t>
      </w:r>
      <w:r>
        <w:rPr>
          <w:rFonts w:ascii="Times New Roman" w:hAnsi="Times New Roman"/>
          <w:noProof/>
          <w:sz w:val="24"/>
          <w:szCs w:val="24"/>
        </w:rPr>
        <w:t xml:space="preserve">e potencial de la transformación digital, sus intereses deben tenerse en cuenta en la concepción y la adaptación de las </w:t>
      </w:r>
      <w:r>
        <w:rPr>
          <w:rFonts w:ascii="Times New Roman" w:hAnsi="Times New Roman"/>
          <w:b/>
          <w:bCs/>
          <w:noProof/>
          <w:sz w:val="24"/>
          <w:szCs w:val="24"/>
        </w:rPr>
        <w:t>normas que regulan la economía digital</w:t>
      </w:r>
      <w:r>
        <w:rPr>
          <w:rFonts w:ascii="Times New Roman" w:hAnsi="Times New Roman"/>
          <w:noProof/>
          <w:sz w:val="24"/>
          <w:szCs w:val="24"/>
        </w:rPr>
        <w:t xml:space="preserve">. Se persigue un doble objetivo: crear un espacio digital más seguro para los consumidores, en el </w:t>
      </w:r>
      <w:r>
        <w:rPr>
          <w:rFonts w:ascii="Times New Roman" w:hAnsi="Times New Roman"/>
          <w:noProof/>
          <w:sz w:val="24"/>
          <w:szCs w:val="24"/>
        </w:rPr>
        <w:t>que sus derechos estén protegidos, y garantizar unas condiciones de competencia equitativas que faciliten la innovación para ofrecer servicios mejores y más novedosos a todos los europeos.</w:t>
      </w:r>
    </w:p>
    <w:p w14:paraId="2EA76944"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En primer lugar, la próxima propuesta de la Comisión para una nueva</w:t>
      </w:r>
      <w:r>
        <w:rPr>
          <w:rFonts w:ascii="Times New Roman" w:hAnsi="Times New Roman"/>
          <w:noProof/>
          <w:sz w:val="24"/>
          <w:szCs w:val="24"/>
        </w:rPr>
        <w:t xml:space="preserve"> </w:t>
      </w:r>
      <w:r>
        <w:rPr>
          <w:rFonts w:ascii="Times New Roman" w:hAnsi="Times New Roman"/>
          <w:b/>
          <w:bCs/>
          <w:noProof/>
          <w:sz w:val="24"/>
          <w:szCs w:val="24"/>
        </w:rPr>
        <w:t>norma sobre servicios digitales</w:t>
      </w:r>
      <w:r>
        <w:rPr>
          <w:rFonts w:ascii="Times New Roman" w:hAnsi="Times New Roman"/>
          <w:noProof/>
          <w:sz w:val="24"/>
          <w:szCs w:val="24"/>
        </w:rPr>
        <w:t xml:space="preserve"> estará encaminada a definir nuevas y mayores responsabilidades y a reforzar la rendición de cuentas de los intermediarios y las plataformas en línea. La norma sobre servicios digitales garantizará que los consumidores estén</w:t>
      </w:r>
      <w:r>
        <w:rPr>
          <w:rFonts w:ascii="Times New Roman" w:hAnsi="Times New Roman"/>
          <w:noProof/>
          <w:sz w:val="24"/>
          <w:szCs w:val="24"/>
        </w:rPr>
        <w:t xml:space="preserve"> protegidos de forma eficaz contra los productos, los contenidos y las actividades ilícitos en las plataformas en línea de la misma manera que lo están fuera de línea. </w:t>
      </w:r>
    </w:p>
    <w:p w14:paraId="677E2F64"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En segundo lugar, a fin de abordar los problemas que surgen en los mercados digitales p</w:t>
      </w:r>
      <w:r>
        <w:rPr>
          <w:rFonts w:ascii="Times New Roman" w:hAnsi="Times New Roman"/>
          <w:noProof/>
          <w:sz w:val="24"/>
          <w:szCs w:val="24"/>
        </w:rPr>
        <w:t xml:space="preserve">ropensos a deficiencias, como el poder de ciertas plataformas digitales para limitar el acceso, la Comisión prevé presentar asimismo una </w:t>
      </w:r>
      <w:r>
        <w:rPr>
          <w:rFonts w:ascii="Times New Roman" w:hAnsi="Times New Roman"/>
          <w:b/>
          <w:noProof/>
          <w:sz w:val="24"/>
          <w:szCs w:val="24"/>
        </w:rPr>
        <w:t>norma sobre mercados digitales</w:t>
      </w:r>
      <w:r>
        <w:rPr>
          <w:rFonts w:ascii="Times New Roman" w:hAnsi="Times New Roman"/>
          <w:noProof/>
          <w:sz w:val="24"/>
          <w:szCs w:val="24"/>
        </w:rPr>
        <w:t xml:space="preserve">. Combinaría la regulación </w:t>
      </w:r>
      <w:r>
        <w:rPr>
          <w:rFonts w:ascii="Times New Roman" w:hAnsi="Times New Roman"/>
          <w:i/>
          <w:noProof/>
          <w:sz w:val="24"/>
          <w:szCs w:val="24"/>
        </w:rPr>
        <w:t>ex ante</w:t>
      </w:r>
      <w:r>
        <w:rPr>
          <w:rFonts w:ascii="Times New Roman" w:hAnsi="Times New Roman"/>
          <w:noProof/>
          <w:sz w:val="24"/>
          <w:szCs w:val="24"/>
        </w:rPr>
        <w:t xml:space="preserve"> de las plataformas digitales que tienen la capacidad d</w:t>
      </w:r>
      <w:r>
        <w:rPr>
          <w:rFonts w:ascii="Times New Roman" w:hAnsi="Times New Roman"/>
          <w:noProof/>
          <w:sz w:val="24"/>
          <w:szCs w:val="24"/>
        </w:rPr>
        <w:t>e limitar el acceso con un marco de investigación dinámica de mercado para examinar los mercados digitales propensos a deficiencias. Los consumidores serán los beneficiarios finales de unos mercados digitales más justos y de acceso más irrestricto, incluid</w:t>
      </w:r>
      <w:r>
        <w:rPr>
          <w:rFonts w:ascii="Times New Roman" w:hAnsi="Times New Roman"/>
          <w:noProof/>
          <w:sz w:val="24"/>
          <w:szCs w:val="24"/>
        </w:rPr>
        <w:t>os unos precios más bajos, mejores y nuevos servicios y una mayor variedad de mercado.</w:t>
      </w:r>
    </w:p>
    <w:p w14:paraId="6EECF96D"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Si bien la </w:t>
      </w:r>
      <w:r>
        <w:rPr>
          <w:rFonts w:ascii="Times New Roman" w:hAnsi="Times New Roman"/>
          <w:b/>
          <w:noProof/>
          <w:sz w:val="24"/>
          <w:szCs w:val="24"/>
        </w:rPr>
        <w:t xml:space="preserve">inteligencia artificial (IA) </w:t>
      </w:r>
      <w:r>
        <w:rPr>
          <w:rFonts w:ascii="Times New Roman" w:hAnsi="Times New Roman"/>
          <w:noProof/>
          <w:sz w:val="24"/>
          <w:szCs w:val="24"/>
        </w:rPr>
        <w:t>puede aportar muchos beneficios, algunos de sus usos podrían vulnerar los derechos de los consumidores y ser perjudiciales para e</w:t>
      </w:r>
      <w:r>
        <w:rPr>
          <w:rFonts w:ascii="Times New Roman" w:hAnsi="Times New Roman"/>
          <w:noProof/>
          <w:sz w:val="24"/>
          <w:szCs w:val="24"/>
        </w:rPr>
        <w:t>llos</w:t>
      </w:r>
      <w:r>
        <w:rPr>
          <w:rFonts w:ascii="Times New Roman" w:hAnsi="Times New Roman" w:cs="Times New Roman"/>
          <w:noProof/>
          <w:sz w:val="24"/>
          <w:szCs w:val="24"/>
          <w:vertAlign w:val="superscript"/>
          <w:lang w:val="en-GB"/>
        </w:rPr>
        <w:footnoteReference w:id="59"/>
      </w:r>
      <w:r>
        <w:rPr>
          <w:rFonts w:ascii="Times New Roman" w:hAnsi="Times New Roman"/>
          <w:noProof/>
          <w:sz w:val="24"/>
          <w:szCs w:val="24"/>
        </w:rPr>
        <w:t>. A raíz de su Libro Blanco sobre la IA</w:t>
      </w:r>
      <w:r>
        <w:rPr>
          <w:rFonts w:ascii="Times New Roman" w:hAnsi="Times New Roman" w:cs="Times New Roman"/>
          <w:noProof/>
          <w:sz w:val="24"/>
          <w:szCs w:val="24"/>
          <w:vertAlign w:val="superscript"/>
          <w:lang w:val="en-GB"/>
        </w:rPr>
        <w:footnoteReference w:id="60"/>
      </w:r>
      <w:r>
        <w:rPr>
          <w:rFonts w:ascii="Times New Roman" w:hAnsi="Times New Roman"/>
          <w:noProof/>
          <w:sz w:val="24"/>
          <w:szCs w:val="24"/>
        </w:rPr>
        <w:t xml:space="preserve"> y el informe que lo acompaña sobre la seguridad y la responsabilidad civil de las nuevas tecnologías</w:t>
      </w:r>
      <w:r>
        <w:rPr>
          <w:rFonts w:ascii="Times New Roman" w:hAnsi="Times New Roman" w:cs="Times New Roman"/>
          <w:noProof/>
          <w:sz w:val="24"/>
          <w:szCs w:val="24"/>
          <w:vertAlign w:val="superscript"/>
          <w:lang w:val="en-GB"/>
        </w:rPr>
        <w:footnoteReference w:id="61"/>
      </w:r>
      <w:r>
        <w:rPr>
          <w:rFonts w:ascii="Times New Roman" w:hAnsi="Times New Roman"/>
          <w:noProof/>
          <w:sz w:val="24"/>
          <w:szCs w:val="24"/>
        </w:rPr>
        <w:t>, la Comisión está trabajando en:</w:t>
      </w:r>
    </w:p>
    <w:p w14:paraId="1429AC3B" w14:textId="77777777" w:rsidR="00450244" w:rsidRDefault="00EB0B0F">
      <w:pPr>
        <w:pStyle w:val="Prrafodelista"/>
        <w:numPr>
          <w:ilvl w:val="0"/>
          <w:numId w:val="9"/>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una propuesta</w:t>
      </w:r>
      <w:r>
        <w:rPr>
          <w:rFonts w:ascii="Times New Roman" w:hAnsi="Times New Roman" w:cs="Times New Roman"/>
          <w:noProof/>
          <w:vertAlign w:val="superscript"/>
          <w:lang w:val="en-GB"/>
        </w:rPr>
        <w:footnoteReference w:id="62"/>
      </w:r>
      <w:r>
        <w:rPr>
          <w:rFonts w:ascii="Times New Roman" w:hAnsi="Times New Roman"/>
          <w:noProof/>
          <w:sz w:val="24"/>
          <w:szCs w:val="24"/>
        </w:rPr>
        <w:t xml:space="preserve"> para garantizar un alto nivel de protección de los intereses de los consumidores y la protección de los derechos fundamentales, lo cual, a su vez, genera la confianza necesaria para la aceptación social de la IA;</w:t>
      </w:r>
    </w:p>
    <w:p w14:paraId="1DC120FD" w14:textId="77777777" w:rsidR="00450244" w:rsidRDefault="00EB0B0F">
      <w:pPr>
        <w:pStyle w:val="Prrafodelista"/>
        <w:numPr>
          <w:ilvl w:val="0"/>
          <w:numId w:val="9"/>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en cuanto a la responsabilidad civil, medi</w:t>
      </w:r>
      <w:r>
        <w:rPr>
          <w:rFonts w:ascii="Times New Roman" w:hAnsi="Times New Roman"/>
          <w:noProof/>
          <w:sz w:val="24"/>
          <w:szCs w:val="24"/>
        </w:rPr>
        <w:t xml:space="preserve">das para garantizar que las víctimas de daños causados por las aplicaciones de IA tengan el mismo nivel de protección en la práctica que las víctimas de daños causados por otros productos o servicios. </w:t>
      </w:r>
    </w:p>
    <w:p w14:paraId="151B3D50"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Los nuevos avances tecnológicos y la globalización de </w:t>
      </w:r>
      <w:r>
        <w:rPr>
          <w:rFonts w:ascii="Times New Roman" w:hAnsi="Times New Roman"/>
          <w:noProof/>
          <w:sz w:val="24"/>
          <w:szCs w:val="24"/>
        </w:rPr>
        <w:t>la producción y del comercio al por menor, incluso a través de canales en línea, plantean la duda de si las normas existentes sobre seguridad de los productos son suficientes para hacer frente a la evolución actual y proteger adecuadamente a los consumidor</w:t>
      </w:r>
      <w:r>
        <w:rPr>
          <w:rFonts w:ascii="Times New Roman" w:hAnsi="Times New Roman"/>
          <w:noProof/>
          <w:sz w:val="24"/>
          <w:szCs w:val="24"/>
        </w:rPr>
        <w:t>es. La Comisión está trabajando en una serie de iniciativas sobre la seguridad de las nuevas tecnologías, tales como:</w:t>
      </w:r>
    </w:p>
    <w:p w14:paraId="510BF0C4" w14:textId="77777777" w:rsidR="00450244" w:rsidRDefault="00EB0B0F">
      <w:pPr>
        <w:pStyle w:val="Prrafodelista"/>
        <w:numPr>
          <w:ilvl w:val="0"/>
          <w:numId w:val="10"/>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la revisión de la Directiva relativa a las máquinas</w:t>
      </w:r>
      <w:r>
        <w:rPr>
          <w:rFonts w:ascii="Times New Roman" w:hAnsi="Times New Roman" w:cs="Times New Roman"/>
          <w:noProof/>
          <w:vertAlign w:val="superscript"/>
          <w:lang w:val="en-GB"/>
        </w:rPr>
        <w:footnoteReference w:id="63"/>
      </w:r>
      <w:r>
        <w:rPr>
          <w:rFonts w:ascii="Times New Roman" w:hAnsi="Times New Roman"/>
          <w:noProof/>
          <w:sz w:val="24"/>
          <w:szCs w:val="24"/>
        </w:rPr>
        <w:t>,</w:t>
      </w:r>
    </w:p>
    <w:p w14:paraId="52206CB6" w14:textId="77777777" w:rsidR="00450244" w:rsidRDefault="00EB0B0F">
      <w:pPr>
        <w:pStyle w:val="Prrafodelista"/>
        <w:numPr>
          <w:ilvl w:val="0"/>
          <w:numId w:val="10"/>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la adopción de actos delegados en virtud de la Directiva sobre equipos radioeléctri</w:t>
      </w:r>
      <w:r>
        <w:rPr>
          <w:rFonts w:ascii="Times New Roman" w:hAnsi="Times New Roman"/>
          <w:noProof/>
          <w:sz w:val="24"/>
          <w:szCs w:val="24"/>
        </w:rPr>
        <w:t>cos</w:t>
      </w:r>
      <w:r>
        <w:rPr>
          <w:rFonts w:ascii="Times New Roman" w:hAnsi="Times New Roman" w:cs="Times New Roman"/>
          <w:noProof/>
          <w:vertAlign w:val="superscript"/>
          <w:lang w:val="en-GB"/>
        </w:rPr>
        <w:footnoteReference w:id="64"/>
      </w:r>
      <w:r>
        <w:rPr>
          <w:rFonts w:ascii="Times New Roman" w:hAnsi="Times New Roman"/>
          <w:noProof/>
          <w:sz w:val="24"/>
          <w:szCs w:val="24"/>
        </w:rPr>
        <w:t xml:space="preserve"> y </w:t>
      </w:r>
    </w:p>
    <w:p w14:paraId="40F77655" w14:textId="77777777" w:rsidR="00450244" w:rsidRDefault="00EB0B0F">
      <w:pPr>
        <w:pStyle w:val="Prrafodelista"/>
        <w:numPr>
          <w:ilvl w:val="0"/>
          <w:numId w:val="10"/>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la revisión de la Directiva relativa a la seguridad general de los productos</w:t>
      </w:r>
      <w:r>
        <w:rPr>
          <w:rFonts w:ascii="Times New Roman" w:hAnsi="Times New Roman" w:cs="Times New Roman"/>
          <w:noProof/>
          <w:vertAlign w:val="superscript"/>
          <w:lang w:val="en-GB"/>
        </w:rPr>
        <w:footnoteReference w:id="65"/>
      </w:r>
      <w:r>
        <w:rPr>
          <w:rFonts w:ascii="Times New Roman" w:hAnsi="Times New Roman"/>
          <w:noProof/>
          <w:sz w:val="24"/>
          <w:szCs w:val="24"/>
        </w:rPr>
        <w:t>.</w:t>
      </w:r>
    </w:p>
    <w:p w14:paraId="70836A27"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noProof/>
          <w:sz w:val="24"/>
          <w:szCs w:val="24"/>
        </w:rPr>
        <w:t>Directiva relativa a la seguridad general de los productos</w:t>
      </w:r>
      <w:r>
        <w:rPr>
          <w:rFonts w:ascii="Times New Roman" w:hAnsi="Times New Roman"/>
          <w:noProof/>
          <w:sz w:val="24"/>
          <w:szCs w:val="24"/>
        </w:rPr>
        <w:t>, que proporciona el marco jurídico para la seguridad de los productos de consumo no alimentarios</w:t>
      </w:r>
      <w:r>
        <w:rPr>
          <w:noProof/>
          <w:vertAlign w:val="superscript"/>
          <w:lang w:val="en-GB"/>
        </w:rPr>
        <w:footnoteReference w:id="66"/>
      </w:r>
      <w:r>
        <w:rPr>
          <w:rFonts w:ascii="Times New Roman" w:hAnsi="Times New Roman"/>
          <w:noProof/>
          <w:sz w:val="24"/>
          <w:szCs w:val="24"/>
        </w:rPr>
        <w:t>, se re</w:t>
      </w:r>
      <w:r>
        <w:rPr>
          <w:rFonts w:ascii="Times New Roman" w:hAnsi="Times New Roman"/>
          <w:noProof/>
          <w:sz w:val="24"/>
          <w:szCs w:val="24"/>
        </w:rPr>
        <w:t>monta a una época en que los productos accionados por IA y los dispositivos conectados eran poco frecuentes, pero las cosas han cambiado mucho desde entonces. Estos avances cuestionan la definición actual de los productos y conllevan nuevos riesgos o cambi</w:t>
      </w:r>
      <w:r>
        <w:rPr>
          <w:rFonts w:ascii="Times New Roman" w:hAnsi="Times New Roman"/>
          <w:noProof/>
          <w:sz w:val="24"/>
          <w:szCs w:val="24"/>
        </w:rPr>
        <w:t>an la manera en que los riesgos existentes podrían materializarse, lo cual debe reflejarse y tenerse debidamente en cuenta. Asimismo, el aumento de las ventas en línea plantea nuevos desafíos, ya que las autoridades no siempre disponen de instrumentos sufi</w:t>
      </w:r>
      <w:r>
        <w:rPr>
          <w:rFonts w:ascii="Times New Roman" w:hAnsi="Times New Roman"/>
          <w:noProof/>
          <w:sz w:val="24"/>
          <w:szCs w:val="24"/>
        </w:rPr>
        <w:t xml:space="preserve">cientemente eficaces para la supervisión del mercado en línea. Además, el comercio electrónico permite a los consumidores comprar directamente de operadores ubicados fuera de la UE, lo cual dificulta aún más el control de la seguridad de los productos que </w:t>
      </w:r>
      <w:r>
        <w:rPr>
          <w:rFonts w:ascii="Times New Roman" w:hAnsi="Times New Roman"/>
          <w:noProof/>
          <w:sz w:val="24"/>
          <w:szCs w:val="24"/>
        </w:rPr>
        <w:t>se introducen en el mercado único. La próxima propuesta de revisión de la Directiva relativa a la seguridad general de los productos, prevista para 2021, debe proporcionar una respuesta sólida a estos crecientes desafíos.</w:t>
      </w:r>
    </w:p>
    <w:p w14:paraId="7C8C3ABF" w14:textId="77777777" w:rsidR="00450244" w:rsidRDefault="00EB0B0F">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Por otra parte, una </w:t>
      </w:r>
      <w:r>
        <w:rPr>
          <w:rFonts w:ascii="Times New Roman" w:hAnsi="Times New Roman"/>
          <w:b/>
          <w:bCs/>
          <w:noProof/>
          <w:sz w:val="24"/>
          <w:szCs w:val="24"/>
        </w:rPr>
        <w:t>identidad pública electrónica</w:t>
      </w:r>
      <w:r>
        <w:rPr>
          <w:rFonts w:ascii="Times New Roman" w:hAnsi="Times New Roman"/>
          <w:noProof/>
          <w:sz w:val="24"/>
          <w:szCs w:val="24"/>
        </w:rPr>
        <w:t xml:space="preserve"> universalmente aceptada —sobre la base de la elección de los consumidores, su consentimiento y la garantía de que su privacidad se respete por completo de conformidad con el Reglamento General de Protección</w:t>
      </w:r>
      <w:r>
        <w:rPr>
          <w:rFonts w:ascii="Times New Roman" w:hAnsi="Times New Roman"/>
          <w:noProof/>
          <w:sz w:val="24"/>
          <w:szCs w:val="24"/>
        </w:rPr>
        <w:t xml:space="preserve"> de Datos (RGPD)— podría ofrecer a los consumidores la posibilidad de gestionar el acceso y el uso de </w:t>
      </w:r>
      <w:r>
        <w:rPr>
          <w:rFonts w:ascii="Times New Roman" w:hAnsi="Times New Roman"/>
          <w:noProof/>
          <w:sz w:val="24"/>
          <w:szCs w:val="24"/>
        </w:rPr>
        <w:lastRenderedPageBreak/>
        <w:t>sus datos de una manera totalmente controlada y segura. La Comisión está evaluando un sistema de ese tipo, teniendo en cuenta los intereses y la protecció</w:t>
      </w:r>
      <w:r>
        <w:rPr>
          <w:rFonts w:ascii="Times New Roman" w:hAnsi="Times New Roman"/>
          <w:noProof/>
          <w:sz w:val="24"/>
          <w:szCs w:val="24"/>
        </w:rPr>
        <w:t>n de los consumidores</w:t>
      </w:r>
      <w:r>
        <w:rPr>
          <w:rFonts w:ascii="Times New Roman" w:hAnsi="Times New Roman" w:cs="Times New Roman"/>
          <w:noProof/>
          <w:sz w:val="24"/>
          <w:szCs w:val="24"/>
          <w:vertAlign w:val="superscript"/>
          <w:lang w:val="en-GB"/>
        </w:rPr>
        <w:footnoteReference w:id="67"/>
      </w:r>
      <w:r>
        <w:rPr>
          <w:rFonts w:ascii="Times New Roman" w:hAnsi="Times New Roman"/>
          <w:noProof/>
          <w:sz w:val="24"/>
          <w:szCs w:val="24"/>
        </w:rPr>
        <w:t xml:space="preserve">. </w:t>
      </w:r>
    </w:p>
    <w:p w14:paraId="2AB6B6D6" w14:textId="77777777" w:rsidR="00450244" w:rsidRDefault="00EB0B0F">
      <w:p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 xml:space="preserve">A fin de abordar el </w:t>
      </w:r>
      <w:r>
        <w:rPr>
          <w:rFonts w:ascii="Times New Roman" w:hAnsi="Times New Roman"/>
          <w:b/>
          <w:iCs/>
          <w:noProof/>
          <w:sz w:val="24"/>
          <w:szCs w:val="24"/>
        </w:rPr>
        <w:t>bloqueo geográfico</w:t>
      </w:r>
      <w:r>
        <w:rPr>
          <w:rFonts w:ascii="Times New Roman" w:hAnsi="Times New Roman"/>
          <w:iCs/>
          <w:noProof/>
          <w:sz w:val="24"/>
          <w:szCs w:val="24"/>
        </w:rPr>
        <w:t xml:space="preserve"> injustificado, que discrimina entre los consumidores de la UE para segmentar los mercados a lo largo de las fronteras nacionales, la Comisión está llevando a cabo su primera revisión a corto </w:t>
      </w:r>
      <w:r>
        <w:rPr>
          <w:rFonts w:ascii="Times New Roman" w:hAnsi="Times New Roman"/>
          <w:iCs/>
          <w:noProof/>
          <w:sz w:val="24"/>
          <w:szCs w:val="24"/>
        </w:rPr>
        <w:t>plazo del Reglamento relativo al bloqueo geográfico</w:t>
      </w:r>
      <w:r>
        <w:rPr>
          <w:rStyle w:val="Refdenotaalpie"/>
          <w:rFonts w:ascii="Times New Roman" w:hAnsi="Times New Roman" w:cs="Times New Roman"/>
          <w:noProof/>
          <w:sz w:val="24"/>
          <w:szCs w:val="24"/>
        </w:rPr>
        <w:footnoteReference w:id="68"/>
      </w:r>
      <w:r>
        <w:rPr>
          <w:rFonts w:ascii="Times New Roman" w:hAnsi="Times New Roman"/>
          <w:iCs/>
          <w:noProof/>
          <w:sz w:val="24"/>
          <w:szCs w:val="24"/>
        </w:rPr>
        <w:t xml:space="preserve">. </w:t>
      </w:r>
    </w:p>
    <w:p w14:paraId="3E90F68D" w14:textId="77777777" w:rsidR="00450244" w:rsidRDefault="00EB0B0F">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noProof/>
          <w:sz w:val="24"/>
          <w:szCs w:val="24"/>
        </w:rPr>
        <w:t>Estrategia Europea de Datos</w:t>
      </w:r>
      <w:r>
        <w:rPr>
          <w:rFonts w:ascii="Times New Roman" w:hAnsi="Times New Roman" w:cs="Times New Roman"/>
          <w:noProof/>
          <w:sz w:val="24"/>
          <w:szCs w:val="24"/>
          <w:vertAlign w:val="superscript"/>
          <w:lang w:val="en-GB"/>
        </w:rPr>
        <w:footnoteReference w:id="69"/>
      </w:r>
      <w:r>
        <w:rPr>
          <w:rFonts w:ascii="Times New Roman" w:hAnsi="Times New Roman"/>
          <w:b/>
          <w:noProof/>
          <w:sz w:val="24"/>
          <w:szCs w:val="24"/>
        </w:rPr>
        <w:t xml:space="preserve"> </w:t>
      </w:r>
      <w:r>
        <w:rPr>
          <w:rFonts w:ascii="Times New Roman" w:hAnsi="Times New Roman"/>
          <w:noProof/>
          <w:sz w:val="24"/>
          <w:szCs w:val="24"/>
        </w:rPr>
        <w:t xml:space="preserve">tiene por objeto facilitar el derecho efectivo de las personas a la </w:t>
      </w:r>
      <w:r>
        <w:rPr>
          <w:rFonts w:ascii="Times New Roman" w:hAnsi="Times New Roman"/>
          <w:b/>
          <w:bCs/>
          <w:noProof/>
          <w:sz w:val="24"/>
          <w:szCs w:val="24"/>
        </w:rPr>
        <w:t>portabilidad de los datos</w:t>
      </w:r>
      <w:r>
        <w:rPr>
          <w:rFonts w:ascii="Times New Roman" w:hAnsi="Times New Roman"/>
          <w:noProof/>
          <w:sz w:val="24"/>
          <w:szCs w:val="24"/>
        </w:rPr>
        <w:t xml:space="preserve"> en virtud del RGPD. Este derecho tiene un claro potencial para poner a las personas en el centro de la economía de los datos al permitirles cambiar de prestador de servicios, combinar servicios, utilizar otros servicios innovadores y optar por los servici</w:t>
      </w:r>
      <w:r>
        <w:rPr>
          <w:rFonts w:ascii="Times New Roman" w:hAnsi="Times New Roman"/>
          <w:noProof/>
          <w:sz w:val="24"/>
          <w:szCs w:val="24"/>
        </w:rPr>
        <w:t xml:space="preserve">os que ofrezcan la mayor protección de los datos. La estrategia también impulsará la creación de un verdadero mercado único de datos y la creación de </w:t>
      </w:r>
      <w:r>
        <w:rPr>
          <w:rFonts w:ascii="Times New Roman" w:hAnsi="Times New Roman"/>
          <w:b/>
          <w:bCs/>
          <w:noProof/>
          <w:sz w:val="24"/>
          <w:szCs w:val="24"/>
        </w:rPr>
        <w:t>espacios europeos comunes de datos</w:t>
      </w:r>
      <w:r>
        <w:rPr>
          <w:rFonts w:ascii="Times New Roman" w:hAnsi="Times New Roman"/>
          <w:noProof/>
          <w:sz w:val="24"/>
          <w:szCs w:val="24"/>
        </w:rPr>
        <w:t>.</w:t>
      </w:r>
    </w:p>
    <w:p w14:paraId="5A4F4BA6"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Además, el </w:t>
      </w:r>
      <w:r>
        <w:rPr>
          <w:rFonts w:ascii="Times New Roman" w:hAnsi="Times New Roman"/>
          <w:b/>
          <w:bCs/>
          <w:noProof/>
          <w:sz w:val="24"/>
          <w:szCs w:val="24"/>
        </w:rPr>
        <w:t>sector de los servicios financieros minoristas</w:t>
      </w:r>
      <w:r>
        <w:rPr>
          <w:rFonts w:ascii="Times New Roman" w:hAnsi="Times New Roman"/>
          <w:noProof/>
          <w:sz w:val="24"/>
          <w:szCs w:val="24"/>
        </w:rPr>
        <w:t xml:space="preserve"> se ha transf</w:t>
      </w:r>
      <w:r>
        <w:rPr>
          <w:rFonts w:ascii="Times New Roman" w:hAnsi="Times New Roman"/>
          <w:noProof/>
          <w:sz w:val="24"/>
          <w:szCs w:val="24"/>
        </w:rPr>
        <w:t>ormado profundamente debido a que la transición digital</w:t>
      </w:r>
      <w:r>
        <w:rPr>
          <w:rFonts w:ascii="Times New Roman" w:hAnsi="Times New Roman" w:cs="Times New Roman"/>
          <w:noProof/>
          <w:sz w:val="24"/>
          <w:szCs w:val="24"/>
          <w:vertAlign w:val="superscript"/>
          <w:lang w:val="en-GB"/>
        </w:rPr>
        <w:footnoteReference w:id="70"/>
      </w:r>
      <w:r>
        <w:rPr>
          <w:rFonts w:ascii="Times New Roman" w:hAnsi="Times New Roman"/>
          <w:noProof/>
          <w:sz w:val="24"/>
          <w:szCs w:val="24"/>
        </w:rPr>
        <w:t xml:space="preserve"> introduce nuevas tendencias y soluciones y diversifica la oferta de productos y servicios financieros.</w:t>
      </w:r>
      <w:r>
        <w:rPr>
          <w:rFonts w:ascii="Times New Roman" w:hAnsi="Times New Roman"/>
          <w:noProof/>
          <w:sz w:val="24"/>
        </w:rPr>
        <w:t xml:space="preserve"> </w:t>
      </w:r>
      <w:r>
        <w:rPr>
          <w:rFonts w:ascii="Times New Roman" w:hAnsi="Times New Roman"/>
          <w:noProof/>
          <w:sz w:val="24"/>
          <w:szCs w:val="24"/>
        </w:rPr>
        <w:t xml:space="preserve">Los prestadores no tradicionales de dichos servicios —tales como las empresas tecnofinancieras </w:t>
      </w:r>
      <w:r>
        <w:rPr>
          <w:rFonts w:ascii="Times New Roman" w:hAnsi="Times New Roman"/>
          <w:noProof/>
          <w:sz w:val="24"/>
          <w:szCs w:val="24"/>
        </w:rPr>
        <w:t>y los prestamistas inter pares— se han unido a los prestamistas tradicionales, quienes también utilizan cada vez más los canales de venta en línea. Los nuevos productos, tales como los préstamos de alto costo a corto plazo, que se contraen por un corto pla</w:t>
      </w:r>
      <w:r>
        <w:rPr>
          <w:rFonts w:ascii="Times New Roman" w:hAnsi="Times New Roman"/>
          <w:noProof/>
          <w:sz w:val="24"/>
          <w:szCs w:val="24"/>
        </w:rPr>
        <w:t>zo pero pueden generar costes considerables para el prestatario, se comercializan y venden cada vez más de forma digital. Las nuevas tecnologías, como las soluciones de pago instantáneo, pueden aportar beneficios tangibles para los consumidores, pero puede</w:t>
      </w:r>
      <w:r>
        <w:rPr>
          <w:rFonts w:ascii="Times New Roman" w:hAnsi="Times New Roman"/>
          <w:noProof/>
          <w:sz w:val="24"/>
          <w:szCs w:val="24"/>
        </w:rPr>
        <w:t>n requerir medidas específicas de protección de los mismos</w:t>
      </w:r>
      <w:r>
        <w:rPr>
          <w:rFonts w:ascii="Times New Roman" w:hAnsi="Times New Roman" w:cs="Times New Roman"/>
          <w:noProof/>
          <w:sz w:val="24"/>
          <w:szCs w:val="24"/>
          <w:vertAlign w:val="superscript"/>
          <w:lang w:val="en-IE"/>
        </w:rPr>
        <w:footnoteReference w:id="71"/>
      </w:r>
      <w:r>
        <w:rPr>
          <w:rFonts w:ascii="Times New Roman" w:hAnsi="Times New Roman"/>
          <w:noProof/>
          <w:sz w:val="24"/>
          <w:szCs w:val="24"/>
        </w:rPr>
        <w:t>. Recientemente, la Comisión ha anunciado iniciativas que mejorarán la protección de los consumidores en relación con los pagos. Estas cuestiones se tendrán en cuenta en el marco de la recientemen</w:t>
      </w:r>
      <w:r>
        <w:rPr>
          <w:rFonts w:ascii="Times New Roman" w:hAnsi="Times New Roman"/>
          <w:noProof/>
          <w:sz w:val="24"/>
          <w:szCs w:val="24"/>
        </w:rPr>
        <w:t>te adoptada Estrategia de Pagos Minoristas para la UE</w:t>
      </w:r>
      <w:r>
        <w:rPr>
          <w:rStyle w:val="Refdenotaalpie"/>
          <w:rFonts w:ascii="Times New Roman" w:hAnsi="Times New Roman" w:cs="Times New Roman"/>
          <w:noProof/>
          <w:sz w:val="24"/>
          <w:szCs w:val="24"/>
        </w:rPr>
        <w:footnoteReference w:id="72"/>
      </w:r>
      <w:r>
        <w:rPr>
          <w:rFonts w:ascii="Times New Roman" w:hAnsi="Times New Roman"/>
          <w:noProof/>
          <w:sz w:val="24"/>
          <w:szCs w:val="24"/>
        </w:rPr>
        <w:t xml:space="preserve">. </w:t>
      </w:r>
    </w:p>
    <w:p w14:paraId="2F1603A3"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El uso de categorías alternativas de datos, en combinación con la toma de decisiones automatizadas sobre la calificación crediticia, plantea dudas con respecto a qué datos deben utilizarse para eval</w:t>
      </w:r>
      <w:r>
        <w:rPr>
          <w:rFonts w:ascii="Times New Roman" w:hAnsi="Times New Roman"/>
          <w:noProof/>
          <w:sz w:val="24"/>
          <w:szCs w:val="24"/>
        </w:rPr>
        <w:t>uar la solvencia de los consumidores y destaca los riesgos de discriminación derivados de las decisiones basadas en algoritmos opacos —un tipo de riesgo que probablemente también se aborde a través del acto jurídico antes mencionado sobre los requisitos pa</w:t>
      </w:r>
      <w:r>
        <w:rPr>
          <w:rFonts w:ascii="Times New Roman" w:hAnsi="Times New Roman"/>
          <w:noProof/>
          <w:sz w:val="24"/>
          <w:szCs w:val="24"/>
        </w:rPr>
        <w:t xml:space="preserve">ra la inteligencia artificial—. Además, debe revisarse la legislación existente, </w:t>
      </w:r>
      <w:r>
        <w:rPr>
          <w:rFonts w:ascii="Times New Roman" w:hAnsi="Times New Roman"/>
          <w:noProof/>
          <w:sz w:val="24"/>
          <w:szCs w:val="24"/>
        </w:rPr>
        <w:lastRenderedPageBreak/>
        <w:t xml:space="preserve">como la </w:t>
      </w:r>
      <w:r>
        <w:rPr>
          <w:rFonts w:ascii="Times New Roman" w:hAnsi="Times New Roman"/>
          <w:b/>
          <w:bCs/>
          <w:noProof/>
          <w:sz w:val="24"/>
          <w:szCs w:val="24"/>
        </w:rPr>
        <w:t xml:space="preserve">Directiva sobre crédito al consumo, </w:t>
      </w:r>
      <w:r>
        <w:rPr>
          <w:rFonts w:ascii="Times New Roman" w:hAnsi="Times New Roman"/>
          <w:noProof/>
          <w:sz w:val="24"/>
          <w:szCs w:val="24"/>
        </w:rPr>
        <w:t xml:space="preserve">la </w:t>
      </w:r>
      <w:r>
        <w:rPr>
          <w:rFonts w:ascii="Times New Roman" w:hAnsi="Times New Roman"/>
          <w:b/>
          <w:bCs/>
          <w:noProof/>
          <w:sz w:val="24"/>
          <w:szCs w:val="24"/>
        </w:rPr>
        <w:t>Directiva de crédito hipotecario, la Directiva sobre las cuentas de pago</w:t>
      </w:r>
      <w:r>
        <w:rPr>
          <w:rFonts w:ascii="Times New Roman" w:hAnsi="Times New Roman"/>
          <w:noProof/>
          <w:sz w:val="24"/>
          <w:szCs w:val="24"/>
        </w:rPr>
        <w:t xml:space="preserve"> y la</w:t>
      </w:r>
      <w:r>
        <w:rPr>
          <w:rFonts w:ascii="Times New Roman" w:hAnsi="Times New Roman"/>
          <w:b/>
          <w:bCs/>
          <w:noProof/>
          <w:sz w:val="24"/>
          <w:szCs w:val="24"/>
        </w:rPr>
        <w:t xml:space="preserve"> Directiva sobre comercialización a distancia de se</w:t>
      </w:r>
      <w:r>
        <w:rPr>
          <w:rFonts w:ascii="Times New Roman" w:hAnsi="Times New Roman"/>
          <w:b/>
          <w:bCs/>
          <w:noProof/>
          <w:sz w:val="24"/>
          <w:szCs w:val="24"/>
        </w:rPr>
        <w:t>rvicios financieros</w:t>
      </w:r>
      <w:r>
        <w:rPr>
          <w:rFonts w:ascii="Times New Roman" w:hAnsi="Times New Roman"/>
          <w:noProof/>
          <w:sz w:val="24"/>
        </w:rPr>
        <w:t xml:space="preserve">, </w:t>
      </w:r>
      <w:r>
        <w:rPr>
          <w:rFonts w:ascii="Times New Roman" w:hAnsi="Times New Roman"/>
          <w:noProof/>
          <w:sz w:val="24"/>
          <w:szCs w:val="24"/>
        </w:rPr>
        <w:t xml:space="preserve">a fin de reflejar el creciente uso de los medios digitales y abordar los desafíos antes mencionados. Debe facultar a los consumidores para entender los productos y comparar y aceptar ofertas en línea, impulsando así la innovación y la </w:t>
      </w:r>
      <w:r>
        <w:rPr>
          <w:rFonts w:ascii="Times New Roman" w:hAnsi="Times New Roman"/>
          <w:noProof/>
          <w:sz w:val="24"/>
          <w:szCs w:val="24"/>
        </w:rPr>
        <w:t xml:space="preserve">confianza de los consumidores. </w:t>
      </w:r>
    </w:p>
    <w:p w14:paraId="7A964001"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El nuevo </w:t>
      </w:r>
      <w:r>
        <w:rPr>
          <w:rFonts w:ascii="Times New Roman" w:hAnsi="Times New Roman"/>
          <w:b/>
          <w:noProof/>
          <w:sz w:val="24"/>
          <w:szCs w:val="24"/>
        </w:rPr>
        <w:t>paquete de finanzas digitales</w:t>
      </w:r>
      <w:r>
        <w:rPr>
          <w:rFonts w:ascii="Times New Roman" w:hAnsi="Times New Roman"/>
          <w:noProof/>
          <w:sz w:val="24"/>
          <w:szCs w:val="24"/>
        </w:rPr>
        <w:t xml:space="preserve"> de la Comisión, incluidas las estrategias de finanzas digitales y de pagos minoristas y las propuestas legislativas sobre los criptoactivos y la resiliencia operativa digital del sector</w:t>
      </w:r>
      <w:r>
        <w:rPr>
          <w:rFonts w:ascii="Times New Roman" w:hAnsi="Times New Roman"/>
          <w:noProof/>
          <w:sz w:val="24"/>
          <w:szCs w:val="24"/>
        </w:rPr>
        <w:t xml:space="preserve"> financiero, tiene por objeto garantizar que los consumidores y las empresas obtengan los beneficios de la innovación a la vez que están protegidos. Reflejar los avances en curso en materia de transformación digital también formará parte de la estrategia d</w:t>
      </w:r>
      <w:r>
        <w:rPr>
          <w:rFonts w:ascii="Times New Roman" w:hAnsi="Times New Roman"/>
          <w:noProof/>
          <w:sz w:val="24"/>
          <w:szCs w:val="24"/>
        </w:rPr>
        <w:t>e inversión minorista, que debe centrarse en los intereses de los inversores individuales y está prevista para la primera mitad de 2022.</w:t>
      </w:r>
    </w:p>
    <w:p w14:paraId="7122649D"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Además, la</w:t>
      </w:r>
      <w:r>
        <w:rPr>
          <w:noProof/>
        </w:rPr>
        <w:t xml:space="preserve"> </w:t>
      </w:r>
      <w:r>
        <w:rPr>
          <w:rFonts w:ascii="Times New Roman" w:hAnsi="Times New Roman"/>
          <w:noProof/>
          <w:sz w:val="24"/>
          <w:szCs w:val="24"/>
        </w:rPr>
        <w:t xml:space="preserve">transformación digital también puede plantear nuevos desafíos, por ejemplo, cuando las soluciones digitales </w:t>
      </w:r>
      <w:r>
        <w:rPr>
          <w:rFonts w:ascii="Times New Roman" w:hAnsi="Times New Roman"/>
          <w:noProof/>
          <w:sz w:val="24"/>
          <w:szCs w:val="24"/>
        </w:rPr>
        <w:t xml:space="preserve">no están diseñadas para ser igualmente </w:t>
      </w:r>
      <w:r>
        <w:rPr>
          <w:rFonts w:ascii="Times New Roman" w:hAnsi="Times New Roman"/>
          <w:b/>
          <w:noProof/>
          <w:sz w:val="24"/>
          <w:szCs w:val="24"/>
        </w:rPr>
        <w:t>accesibles para las personas con discapacidad</w:t>
      </w:r>
      <w:r>
        <w:rPr>
          <w:rFonts w:ascii="Times New Roman" w:hAnsi="Times New Roman"/>
          <w:noProof/>
          <w:sz w:val="24"/>
          <w:szCs w:val="24"/>
        </w:rPr>
        <w:t>. La Comisión está apoyando a los Estados miembros en la transposición del Acta Europea de Accesibilidad</w:t>
      </w:r>
      <w:r>
        <w:rPr>
          <w:rStyle w:val="Refdenotaalpie"/>
          <w:rFonts w:ascii="Times New Roman" w:hAnsi="Times New Roman" w:cs="Times New Roman"/>
          <w:noProof/>
          <w:sz w:val="24"/>
          <w:szCs w:val="24"/>
          <w:lang w:val="en-GB"/>
        </w:rPr>
        <w:footnoteReference w:id="73"/>
      </w:r>
      <w:r>
        <w:rPr>
          <w:rFonts w:ascii="Times New Roman" w:hAnsi="Times New Roman"/>
          <w:noProof/>
          <w:sz w:val="24"/>
          <w:szCs w:val="24"/>
        </w:rPr>
        <w:t>. Su aplicación, a más tardar en 2025, ayudará a eliminar los prob</w:t>
      </w:r>
      <w:r>
        <w:rPr>
          <w:rFonts w:ascii="Times New Roman" w:hAnsi="Times New Roman"/>
          <w:noProof/>
          <w:sz w:val="24"/>
          <w:szCs w:val="24"/>
        </w:rPr>
        <w:t xml:space="preserve">lemas de la digitalización para las personas con discapacidad y aumentará la disponibilidad de productos y servicios accesibles para dichas personas. </w:t>
      </w:r>
    </w:p>
    <w:p w14:paraId="4F7ADDC9"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Por último, la transformación digital requiere que los consumidores cuenten con una alfabetización digita</w:t>
      </w:r>
      <w:r>
        <w:rPr>
          <w:rFonts w:ascii="Times New Roman" w:hAnsi="Times New Roman"/>
          <w:noProof/>
          <w:sz w:val="24"/>
          <w:szCs w:val="24"/>
        </w:rPr>
        <w:t xml:space="preserve">l sólida y con competencias digitales, que deben promoverse por medio de la educación y la formación desde una perspectiva de aprendizaje permanente, tal como lo indican el </w:t>
      </w:r>
      <w:r>
        <w:rPr>
          <w:rFonts w:ascii="Times New Roman" w:hAnsi="Times New Roman"/>
          <w:b/>
          <w:bCs/>
          <w:noProof/>
          <w:sz w:val="24"/>
          <w:szCs w:val="24"/>
        </w:rPr>
        <w:t>Plan de Acción de Educación Digital 2021-2027</w:t>
      </w:r>
      <w:r>
        <w:rPr>
          <w:rStyle w:val="Refdenotaalpie"/>
          <w:rFonts w:ascii="Times New Roman" w:hAnsi="Times New Roman" w:cs="Times New Roman"/>
          <w:b/>
          <w:bCs/>
          <w:noProof/>
          <w:sz w:val="24"/>
          <w:szCs w:val="24"/>
          <w:lang w:val="en-GB"/>
        </w:rPr>
        <w:footnoteReference w:id="74"/>
      </w:r>
      <w:r>
        <w:rPr>
          <w:rFonts w:ascii="Times New Roman" w:hAnsi="Times New Roman"/>
          <w:b/>
          <w:bCs/>
          <w:noProof/>
          <w:sz w:val="24"/>
          <w:szCs w:val="24"/>
        </w:rPr>
        <w:t xml:space="preserve"> </w:t>
      </w:r>
      <w:r>
        <w:rPr>
          <w:rFonts w:ascii="Times New Roman" w:hAnsi="Times New Roman"/>
          <w:noProof/>
          <w:sz w:val="24"/>
          <w:szCs w:val="24"/>
        </w:rPr>
        <w:t xml:space="preserve">y sus prioridades </w:t>
      </w:r>
      <w:r>
        <w:rPr>
          <w:rFonts w:ascii="Times New Roman" w:hAnsi="Times New Roman"/>
          <w:noProof/>
          <w:sz w:val="24"/>
          <w:szCs w:val="24"/>
        </w:rPr>
        <w:t>estratégicas.</w:t>
      </w:r>
    </w:p>
    <w:p w14:paraId="379B4083" w14:textId="77777777" w:rsidR="00450244" w:rsidRDefault="00EB0B0F">
      <w:pPr>
        <w:numPr>
          <w:ilvl w:val="0"/>
          <w:numId w:val="13"/>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Acción 7:</w:t>
      </w:r>
      <w:r>
        <w:rPr>
          <w:rFonts w:ascii="Times New Roman" w:hAnsi="Times New Roman"/>
          <w:noProof/>
          <w:sz w:val="24"/>
          <w:szCs w:val="24"/>
        </w:rPr>
        <w:t xml:space="preserve"> para 2022 y tras actualizar sus</w:t>
      </w:r>
      <w:r>
        <w:rPr>
          <w:rFonts w:ascii="Times New Roman" w:hAnsi="Times New Roman"/>
          <w:b/>
          <w:bCs/>
          <w:noProof/>
          <w:sz w:val="24"/>
          <w:szCs w:val="24"/>
        </w:rPr>
        <w:t xml:space="preserve"> documentos de orientación</w:t>
      </w:r>
      <w:r>
        <w:rPr>
          <w:rFonts w:ascii="Times New Roman" w:hAnsi="Times New Roman"/>
          <w:noProof/>
          <w:sz w:val="24"/>
          <w:szCs w:val="24"/>
        </w:rPr>
        <w:t xml:space="preserve"> </w:t>
      </w:r>
      <w:r>
        <w:rPr>
          <w:rFonts w:ascii="Times New Roman" w:hAnsi="Times New Roman"/>
          <w:b/>
          <w:bCs/>
          <w:noProof/>
          <w:sz w:val="24"/>
          <w:szCs w:val="24"/>
        </w:rPr>
        <w:t>sobre la Directiva sobre las prácticas comerciales desleales y la Directiva sobre los derechos de los consumidores</w:t>
      </w:r>
      <w:r>
        <w:rPr>
          <w:rFonts w:ascii="Times New Roman" w:hAnsi="Times New Roman"/>
          <w:noProof/>
          <w:sz w:val="24"/>
          <w:szCs w:val="24"/>
        </w:rPr>
        <w:t xml:space="preserve">, la Comisión prevé </w:t>
      </w:r>
      <w:r>
        <w:rPr>
          <w:rFonts w:ascii="Times New Roman" w:hAnsi="Times New Roman"/>
          <w:b/>
          <w:bCs/>
          <w:noProof/>
          <w:sz w:val="24"/>
          <w:szCs w:val="24"/>
        </w:rPr>
        <w:t>analizar</w:t>
      </w:r>
      <w:r>
        <w:rPr>
          <w:rFonts w:ascii="Times New Roman" w:hAnsi="Times New Roman"/>
          <w:noProof/>
          <w:sz w:val="24"/>
          <w:szCs w:val="24"/>
        </w:rPr>
        <w:t xml:space="preserve"> si se necesitan una legislación</w:t>
      </w:r>
      <w:r>
        <w:rPr>
          <w:rFonts w:ascii="Times New Roman" w:hAnsi="Times New Roman"/>
          <w:noProof/>
          <w:sz w:val="24"/>
          <w:szCs w:val="24"/>
        </w:rPr>
        <w:t xml:space="preserve"> adicional u otras medidas a medio plazo para garantizar la misma equidad tanto en línea como fuera de línea.</w:t>
      </w:r>
    </w:p>
    <w:p w14:paraId="5A06A8EC" w14:textId="77777777" w:rsidR="00450244" w:rsidRDefault="00EB0B0F">
      <w:pPr>
        <w:numPr>
          <w:ilvl w:val="0"/>
          <w:numId w:val="13"/>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Acción 8:</w:t>
      </w:r>
      <w:r>
        <w:rPr>
          <w:rFonts w:ascii="Times New Roman" w:hAnsi="Times New Roman"/>
          <w:noProof/>
          <w:sz w:val="24"/>
          <w:szCs w:val="24"/>
        </w:rPr>
        <w:t xml:space="preserve"> en 2021, tal como se anunció en el Libro Blanco sobre la IA, la Comisión prevé presentar una propuesta para un </w:t>
      </w:r>
      <w:r>
        <w:rPr>
          <w:rFonts w:ascii="Times New Roman" w:hAnsi="Times New Roman"/>
          <w:b/>
          <w:bCs/>
          <w:noProof/>
          <w:sz w:val="24"/>
          <w:szCs w:val="24"/>
        </w:rPr>
        <w:t xml:space="preserve">acto jurídico horizontal </w:t>
      </w:r>
      <w:r>
        <w:rPr>
          <w:rFonts w:ascii="Times New Roman" w:hAnsi="Times New Roman"/>
          <w:b/>
          <w:bCs/>
          <w:noProof/>
          <w:sz w:val="24"/>
          <w:szCs w:val="24"/>
        </w:rPr>
        <w:t>que establezca los requisitos para la IA</w:t>
      </w:r>
      <w:r>
        <w:rPr>
          <w:rFonts w:ascii="Times New Roman" w:hAnsi="Times New Roman"/>
          <w:noProof/>
          <w:sz w:val="24"/>
          <w:szCs w:val="24"/>
        </w:rPr>
        <w:t>.</w:t>
      </w:r>
    </w:p>
    <w:p w14:paraId="4C8B3C93" w14:textId="77777777" w:rsidR="00450244" w:rsidRDefault="00EB0B0F">
      <w:pPr>
        <w:numPr>
          <w:ilvl w:val="0"/>
          <w:numId w:val="13"/>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Acción 9:</w:t>
      </w:r>
      <w:r>
        <w:rPr>
          <w:rFonts w:ascii="Times New Roman" w:hAnsi="Times New Roman"/>
          <w:noProof/>
          <w:sz w:val="24"/>
          <w:szCs w:val="24"/>
        </w:rPr>
        <w:t xml:space="preserve"> en 2021, la Comisión prevé preparar una propuesta de revisión de la </w:t>
      </w:r>
      <w:r>
        <w:rPr>
          <w:rFonts w:ascii="Times New Roman" w:hAnsi="Times New Roman"/>
          <w:b/>
          <w:bCs/>
          <w:noProof/>
          <w:sz w:val="24"/>
          <w:szCs w:val="24"/>
        </w:rPr>
        <w:t>Directiva relativa a la seguridad general de los productos</w:t>
      </w:r>
      <w:r>
        <w:rPr>
          <w:rFonts w:ascii="Times New Roman" w:hAnsi="Times New Roman"/>
          <w:noProof/>
          <w:sz w:val="24"/>
          <w:szCs w:val="24"/>
        </w:rPr>
        <w:t xml:space="preserve"> para abordar los nuevos retos para la seguridad de los productos derivados de</w:t>
      </w:r>
      <w:r>
        <w:rPr>
          <w:rFonts w:ascii="Times New Roman" w:hAnsi="Times New Roman"/>
          <w:noProof/>
          <w:sz w:val="24"/>
          <w:szCs w:val="24"/>
        </w:rPr>
        <w:t xml:space="preserve"> las nuevas tecnologías y de las ventas en línea. De manera complementaria, en 2021, la Comisión también pretende preparar una propuesta de </w:t>
      </w:r>
      <w:r>
        <w:rPr>
          <w:rFonts w:ascii="Times New Roman" w:hAnsi="Times New Roman"/>
          <w:b/>
          <w:bCs/>
          <w:noProof/>
          <w:sz w:val="24"/>
          <w:szCs w:val="24"/>
        </w:rPr>
        <w:t>revisión de la Directiva relativa a las máquinas</w:t>
      </w:r>
      <w:r>
        <w:rPr>
          <w:rFonts w:ascii="Times New Roman" w:hAnsi="Times New Roman"/>
          <w:noProof/>
          <w:sz w:val="24"/>
          <w:szCs w:val="24"/>
        </w:rPr>
        <w:t xml:space="preserve">. </w:t>
      </w:r>
    </w:p>
    <w:p w14:paraId="149FC140" w14:textId="77777777" w:rsidR="00450244" w:rsidRDefault="00EB0B0F">
      <w:pPr>
        <w:numPr>
          <w:ilvl w:val="0"/>
          <w:numId w:val="13"/>
        </w:numPr>
        <w:pBdr>
          <w:top w:val="single" w:sz="4" w:space="1" w:color="auto"/>
          <w:left w:val="single" w:sz="4" w:space="4" w:color="auto"/>
          <w:bottom w:val="single" w:sz="4" w:space="6" w:color="auto"/>
          <w:right w:val="single" w:sz="4" w:space="4" w:color="auto"/>
        </w:pBdr>
        <w:spacing w:after="360" w:line="240" w:lineRule="auto"/>
        <w:jc w:val="both"/>
        <w:rPr>
          <w:rFonts w:ascii="Times New Roman" w:hAnsi="Times New Roman" w:cs="Times New Roman"/>
          <w:noProof/>
          <w:sz w:val="24"/>
          <w:szCs w:val="24"/>
        </w:rPr>
      </w:pPr>
      <w:r>
        <w:rPr>
          <w:rFonts w:ascii="Times New Roman" w:hAnsi="Times New Roman"/>
          <w:b/>
          <w:bCs/>
          <w:noProof/>
          <w:sz w:val="24"/>
          <w:szCs w:val="24"/>
        </w:rPr>
        <w:t>Acción 10:</w:t>
      </w:r>
      <w:r>
        <w:rPr>
          <w:rFonts w:ascii="Times New Roman" w:hAnsi="Times New Roman"/>
          <w:noProof/>
          <w:sz w:val="24"/>
          <w:szCs w:val="24"/>
        </w:rPr>
        <w:t xml:space="preserve"> en 2021, la Comisión prevé preparar propuestas de revisión de la </w:t>
      </w:r>
      <w:r>
        <w:rPr>
          <w:rFonts w:ascii="Times New Roman" w:hAnsi="Times New Roman"/>
          <w:b/>
          <w:noProof/>
          <w:sz w:val="24"/>
          <w:szCs w:val="24"/>
        </w:rPr>
        <w:t>Directiva sobre crédito al consumo</w:t>
      </w:r>
      <w:r>
        <w:rPr>
          <w:rFonts w:ascii="Times New Roman" w:hAnsi="Times New Roman"/>
          <w:noProof/>
          <w:sz w:val="24"/>
          <w:szCs w:val="24"/>
        </w:rPr>
        <w:t xml:space="preserve"> y la</w:t>
      </w:r>
      <w:r>
        <w:rPr>
          <w:rFonts w:ascii="Times New Roman" w:hAnsi="Times New Roman"/>
          <w:b/>
          <w:noProof/>
          <w:sz w:val="24"/>
          <w:szCs w:val="24"/>
        </w:rPr>
        <w:t xml:space="preserve"> Directiva sobre comercialización a </w:t>
      </w:r>
      <w:r>
        <w:rPr>
          <w:rFonts w:ascii="Times New Roman" w:hAnsi="Times New Roman"/>
          <w:b/>
          <w:noProof/>
          <w:sz w:val="24"/>
          <w:szCs w:val="24"/>
        </w:rPr>
        <w:lastRenderedPageBreak/>
        <w:t xml:space="preserve">distancia de servicios financieros </w:t>
      </w:r>
      <w:r>
        <w:rPr>
          <w:rFonts w:ascii="Times New Roman" w:hAnsi="Times New Roman"/>
          <w:noProof/>
          <w:sz w:val="24"/>
          <w:szCs w:val="24"/>
        </w:rPr>
        <w:t>para reforzar la protección de los consumidores en el contexto de la digitalizac</w:t>
      </w:r>
      <w:r>
        <w:rPr>
          <w:rFonts w:ascii="Times New Roman" w:hAnsi="Times New Roman"/>
          <w:noProof/>
          <w:sz w:val="24"/>
          <w:szCs w:val="24"/>
        </w:rPr>
        <w:t>ión de los servicios financieros minoristas.</w:t>
      </w:r>
    </w:p>
    <w:p w14:paraId="4FC572AA" w14:textId="77777777" w:rsidR="00450244" w:rsidRDefault="00EB0B0F">
      <w:pPr>
        <w:keepNext/>
        <w:numPr>
          <w:ilvl w:val="1"/>
          <w:numId w:val="1"/>
        </w:numPr>
        <w:spacing w:before="100" w:beforeAutospacing="1" w:after="240" w:line="240" w:lineRule="auto"/>
        <w:ind w:left="714" w:hanging="357"/>
        <w:jc w:val="both"/>
        <w:rPr>
          <w:rFonts w:ascii="Times New Roman" w:hAnsi="Times New Roman" w:cs="Times New Roman"/>
          <w:b/>
          <w:bCs/>
          <w:noProof/>
          <w:sz w:val="24"/>
          <w:szCs w:val="24"/>
        </w:rPr>
      </w:pPr>
      <w:r>
        <w:rPr>
          <w:rFonts w:ascii="Times New Roman" w:hAnsi="Times New Roman"/>
          <w:b/>
          <w:bCs/>
          <w:noProof/>
          <w:sz w:val="24"/>
          <w:szCs w:val="24"/>
        </w:rPr>
        <w:t xml:space="preserve"> Respeto y tutela eficaces</w:t>
      </w:r>
    </w:p>
    <w:p w14:paraId="64CCC95C" w14:textId="77777777" w:rsidR="00450244" w:rsidRDefault="00EB0B0F">
      <w:p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Ejemplo: La próxima Directiva relativa a las acciones de representación permite a los consumidores unir sus fuerzas. Para casos futuros, las entidades habilitadas, designadas para este</w:t>
      </w:r>
      <w:r>
        <w:rPr>
          <w:rFonts w:ascii="Times New Roman" w:hAnsi="Times New Roman"/>
          <w:i/>
          <w:iCs/>
          <w:noProof/>
          <w:sz w:val="24"/>
          <w:szCs w:val="24"/>
        </w:rPr>
        <w:t xml:space="preserve"> fin, pueden llevar más fácilmente los casos relacionados con los intereses colectivos de los consumidores, incluso en situaciones transfronterizas, ante los tribunales o las autoridades administrativas. Esto facilitará a los consumidores obtener reparació</w:t>
      </w:r>
      <w:r>
        <w:rPr>
          <w:rFonts w:ascii="Times New Roman" w:hAnsi="Times New Roman"/>
          <w:i/>
          <w:iCs/>
          <w:noProof/>
          <w:sz w:val="24"/>
          <w:szCs w:val="24"/>
        </w:rPr>
        <w:t xml:space="preserve">n de forma conjunta en casos que sean similares, por ejemplo, a la manipulación de las pruebas de las emisiones de gases de escape de determinados automóviles diésel. </w:t>
      </w:r>
    </w:p>
    <w:p w14:paraId="1F55B3F4"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Así como las empresas tienen derecho a vender productos y ofrecer servicios a todos los </w:t>
      </w:r>
      <w:r>
        <w:rPr>
          <w:rFonts w:ascii="Times New Roman" w:hAnsi="Times New Roman"/>
          <w:noProof/>
          <w:sz w:val="24"/>
          <w:szCs w:val="24"/>
        </w:rPr>
        <w:t xml:space="preserve">consumidores del mercado único, </w:t>
      </w:r>
      <w:r>
        <w:rPr>
          <w:rFonts w:ascii="Times New Roman" w:hAnsi="Times New Roman"/>
          <w:b/>
          <w:bCs/>
          <w:noProof/>
          <w:sz w:val="24"/>
          <w:szCs w:val="24"/>
        </w:rPr>
        <w:t>los consumidores</w:t>
      </w:r>
      <w:r>
        <w:rPr>
          <w:rFonts w:ascii="Times New Roman" w:hAnsi="Times New Roman"/>
          <w:bCs/>
          <w:noProof/>
          <w:sz w:val="24"/>
          <w:szCs w:val="24"/>
        </w:rPr>
        <w:t>,</w:t>
      </w:r>
      <w:r>
        <w:rPr>
          <w:rFonts w:ascii="Times New Roman" w:hAnsi="Times New Roman"/>
          <w:b/>
          <w:bCs/>
          <w:noProof/>
          <w:sz w:val="24"/>
          <w:szCs w:val="24"/>
        </w:rPr>
        <w:t xml:space="preserve"> </w:t>
      </w:r>
      <w:r>
        <w:rPr>
          <w:rFonts w:ascii="Times New Roman" w:hAnsi="Times New Roman"/>
          <w:bCs/>
          <w:noProof/>
          <w:sz w:val="24"/>
          <w:szCs w:val="24"/>
        </w:rPr>
        <w:t>dondequiera que se encuentren en la UE,</w:t>
      </w:r>
      <w:r>
        <w:rPr>
          <w:rFonts w:ascii="Times New Roman" w:hAnsi="Times New Roman"/>
          <w:noProof/>
          <w:sz w:val="24"/>
          <w:szCs w:val="24"/>
        </w:rPr>
        <w:t xml:space="preserve"> </w:t>
      </w:r>
      <w:r>
        <w:rPr>
          <w:rFonts w:ascii="Times New Roman" w:hAnsi="Times New Roman"/>
          <w:b/>
          <w:noProof/>
          <w:sz w:val="24"/>
          <w:szCs w:val="24"/>
        </w:rPr>
        <w:t>deben poder hacer valer sus derechos de forma eficaz</w:t>
      </w:r>
      <w:r>
        <w:rPr>
          <w:rFonts w:ascii="Times New Roman" w:hAnsi="Times New Roman"/>
          <w:noProof/>
          <w:sz w:val="24"/>
          <w:szCs w:val="24"/>
        </w:rPr>
        <w:t xml:space="preserve"> ante estas empresas. Sin embargo, en la práctica, el examen de los sitios web por parte de las autoridades competentes ha demostrado que no es muy frecuente que se respetan los derechos de los consumidores. Entre 2007 y 2019, se constató que un promedio d</w:t>
      </w:r>
      <w:r>
        <w:rPr>
          <w:rFonts w:ascii="Times New Roman" w:hAnsi="Times New Roman"/>
          <w:noProof/>
          <w:sz w:val="24"/>
          <w:szCs w:val="24"/>
        </w:rPr>
        <w:t>el 60 % de los sitios web analizados no cumplía las normas básicas de protección de los consumidores y, por lo tanto, necesitaba correcciones</w:t>
      </w:r>
      <w:r>
        <w:rPr>
          <w:rFonts w:ascii="Times New Roman" w:hAnsi="Times New Roman" w:cs="Times New Roman"/>
          <w:noProof/>
          <w:sz w:val="24"/>
          <w:szCs w:val="24"/>
          <w:vertAlign w:val="superscript"/>
          <w:lang w:val="en-GB"/>
        </w:rPr>
        <w:footnoteReference w:id="75"/>
      </w:r>
      <w:r>
        <w:rPr>
          <w:rFonts w:ascii="Times New Roman" w:hAnsi="Times New Roman"/>
          <w:noProof/>
          <w:sz w:val="24"/>
          <w:szCs w:val="24"/>
        </w:rPr>
        <w:t>.</w:t>
      </w:r>
    </w:p>
    <w:p w14:paraId="35E54FD6"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El respeto de los derechos de los consumidores es, en primer lugar, </w:t>
      </w:r>
      <w:r>
        <w:rPr>
          <w:rFonts w:ascii="Times New Roman" w:hAnsi="Times New Roman"/>
          <w:b/>
          <w:bCs/>
          <w:noProof/>
          <w:sz w:val="24"/>
          <w:szCs w:val="24"/>
        </w:rPr>
        <w:t>responsabilidad de las autoridades nacional</w:t>
      </w:r>
      <w:r>
        <w:rPr>
          <w:rFonts w:ascii="Times New Roman" w:hAnsi="Times New Roman"/>
          <w:b/>
          <w:bCs/>
          <w:noProof/>
          <w:sz w:val="24"/>
          <w:szCs w:val="24"/>
        </w:rPr>
        <w:t>es</w:t>
      </w:r>
      <w:r>
        <w:rPr>
          <w:rFonts w:ascii="Times New Roman" w:hAnsi="Times New Roman"/>
          <w:noProof/>
          <w:sz w:val="24"/>
          <w:szCs w:val="24"/>
        </w:rPr>
        <w:t>, pero la</w:t>
      </w:r>
      <w:r>
        <w:rPr>
          <w:rFonts w:ascii="Times New Roman" w:hAnsi="Times New Roman"/>
          <w:b/>
          <w:bCs/>
          <w:noProof/>
          <w:sz w:val="24"/>
          <w:szCs w:val="24"/>
        </w:rPr>
        <w:t xml:space="preserve"> </w:t>
      </w:r>
      <w:r>
        <w:rPr>
          <w:rFonts w:ascii="Times New Roman" w:hAnsi="Times New Roman"/>
          <w:bCs/>
          <w:noProof/>
          <w:sz w:val="24"/>
          <w:szCs w:val="24"/>
        </w:rPr>
        <w:t>UE desempeña</w:t>
      </w:r>
      <w:r>
        <w:rPr>
          <w:rFonts w:ascii="Times New Roman" w:hAnsi="Times New Roman"/>
          <w:noProof/>
          <w:sz w:val="24"/>
          <w:szCs w:val="24"/>
        </w:rPr>
        <w:t xml:space="preserve"> un papel importante de </w:t>
      </w:r>
      <w:r>
        <w:rPr>
          <w:rFonts w:ascii="Times New Roman" w:hAnsi="Times New Roman"/>
          <w:b/>
          <w:bCs/>
          <w:noProof/>
          <w:sz w:val="24"/>
          <w:szCs w:val="24"/>
        </w:rPr>
        <w:t>coordinación y apoyo</w:t>
      </w:r>
      <w:r>
        <w:rPr>
          <w:rFonts w:ascii="Times New Roman" w:hAnsi="Times New Roman"/>
          <w:noProof/>
          <w:sz w:val="24"/>
          <w:szCs w:val="24"/>
        </w:rPr>
        <w:t xml:space="preserve">. El nuevo </w:t>
      </w:r>
      <w:r>
        <w:rPr>
          <w:rFonts w:ascii="Times New Roman" w:hAnsi="Times New Roman"/>
          <w:b/>
          <w:bCs/>
          <w:noProof/>
          <w:sz w:val="24"/>
          <w:szCs w:val="24"/>
        </w:rPr>
        <w:t>Reglamento sobre cooperación en materia de protección de los consumidores</w:t>
      </w:r>
      <w:r>
        <w:rPr>
          <w:rFonts w:ascii="Times New Roman" w:hAnsi="Times New Roman" w:cs="Times New Roman"/>
          <w:bCs/>
          <w:noProof/>
          <w:sz w:val="24"/>
          <w:szCs w:val="24"/>
          <w:vertAlign w:val="superscript"/>
          <w:lang w:val="en-GB"/>
        </w:rPr>
        <w:footnoteReference w:id="76"/>
      </w:r>
      <w:r>
        <w:rPr>
          <w:rFonts w:ascii="Times New Roman" w:hAnsi="Times New Roman"/>
          <w:noProof/>
          <w:sz w:val="24"/>
          <w:szCs w:val="24"/>
        </w:rPr>
        <w:t>, que entró en vigor en enero de 2020, establece una base más sólida para una acción conjunta de la UE</w:t>
      </w:r>
      <w:r>
        <w:rPr>
          <w:rFonts w:ascii="Times New Roman" w:hAnsi="Times New Roman"/>
          <w:noProof/>
          <w:sz w:val="24"/>
          <w:szCs w:val="24"/>
        </w:rPr>
        <w:t>. Refuerza la capacidad en línea de las autoridades competentes, los mecanismos de cooperación y el sistema de recogida de datos para abordar las infracciones a gran escala del Derecho de la UE en materia de protección de los consumidores, garantizar un ni</w:t>
      </w:r>
      <w:r>
        <w:rPr>
          <w:rFonts w:ascii="Times New Roman" w:hAnsi="Times New Roman"/>
          <w:noProof/>
          <w:sz w:val="24"/>
          <w:szCs w:val="24"/>
        </w:rPr>
        <w:t xml:space="preserve">vel constante de protección de los mismos y ofrecer una «ventanilla única» para las empresas. La Comisión no dudará en hacer uso de sus competencias en virtud del Reglamento para </w:t>
      </w:r>
      <w:r>
        <w:rPr>
          <w:rFonts w:ascii="Times New Roman" w:hAnsi="Times New Roman"/>
          <w:b/>
          <w:bCs/>
          <w:noProof/>
          <w:sz w:val="24"/>
          <w:szCs w:val="24"/>
        </w:rPr>
        <w:t>lanzar medidas de ejecución coordinadas</w:t>
      </w:r>
      <w:r>
        <w:rPr>
          <w:rFonts w:ascii="Times New Roman" w:hAnsi="Times New Roman"/>
          <w:noProof/>
          <w:sz w:val="24"/>
          <w:szCs w:val="24"/>
        </w:rPr>
        <w:t xml:space="preserve"> en relación con problemas en toda la </w:t>
      </w:r>
      <w:r>
        <w:rPr>
          <w:rFonts w:ascii="Times New Roman" w:hAnsi="Times New Roman"/>
          <w:noProof/>
          <w:sz w:val="24"/>
          <w:szCs w:val="24"/>
        </w:rPr>
        <w:t>UE, en caso necesario.</w:t>
      </w:r>
      <w:r>
        <w:rPr>
          <w:rFonts w:ascii="Times New Roman" w:hAnsi="Times New Roman"/>
          <w:noProof/>
          <w:sz w:val="24"/>
          <w:szCs w:val="24"/>
          <w:vertAlign w:val="superscript"/>
        </w:rPr>
        <w:t xml:space="preserve"> </w:t>
      </w:r>
      <w:r>
        <w:rPr>
          <w:rFonts w:ascii="Times New Roman" w:hAnsi="Times New Roman"/>
          <w:noProof/>
          <w:sz w:val="24"/>
          <w:szCs w:val="24"/>
        </w:rPr>
        <w:t xml:space="preserve"> De conformidad con las prioridades estratégicas de la presente Agenda, la labor se centrará en abordar: </w:t>
      </w:r>
    </w:p>
    <w:p w14:paraId="3934A76C" w14:textId="77777777" w:rsidR="00450244" w:rsidRDefault="00EB0B0F">
      <w:pPr>
        <w:pStyle w:val="Prrafodelista"/>
        <w:numPr>
          <w:ilvl w:val="0"/>
          <w:numId w:val="11"/>
        </w:numPr>
        <w:spacing w:after="240" w:line="240" w:lineRule="auto"/>
        <w:ind w:left="777"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el impacto de la COVID-19 sobre los derechos de los consumidores (por ejemplo, estafas, problemas relacionados con viajes y la </w:t>
      </w:r>
      <w:r>
        <w:rPr>
          <w:rFonts w:ascii="Times New Roman" w:hAnsi="Times New Roman"/>
          <w:noProof/>
          <w:sz w:val="24"/>
          <w:szCs w:val="24"/>
        </w:rPr>
        <w:t>explotación de las vulnerabilidades financieras que existían desde antes de la pandemia pero que se han vuelto más acuciantes</w:t>
      </w:r>
      <w:r>
        <w:rPr>
          <w:rStyle w:val="Refdenotaalpie"/>
          <w:rFonts w:ascii="Times New Roman" w:hAnsi="Times New Roman" w:cs="Times New Roman"/>
          <w:noProof/>
          <w:sz w:val="24"/>
          <w:szCs w:val="24"/>
          <w:lang w:val="en-GB"/>
        </w:rPr>
        <w:footnoteReference w:id="77"/>
      </w:r>
      <w:r>
        <w:rPr>
          <w:rFonts w:ascii="Times New Roman" w:hAnsi="Times New Roman"/>
          <w:noProof/>
          <w:sz w:val="24"/>
          <w:szCs w:val="24"/>
        </w:rPr>
        <w:t>) y</w:t>
      </w:r>
    </w:p>
    <w:p w14:paraId="3407BC8B" w14:textId="77777777" w:rsidR="00450244" w:rsidRDefault="00EB0B0F">
      <w:pPr>
        <w:pStyle w:val="Prrafodelista"/>
        <w:numPr>
          <w:ilvl w:val="0"/>
          <w:numId w:val="11"/>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las alegaciones ecológicas engañosas y las prácticas comerciales desleales en relación con las técnicas para ejercer influenc</w:t>
      </w:r>
      <w:r>
        <w:rPr>
          <w:rFonts w:ascii="Times New Roman" w:hAnsi="Times New Roman"/>
          <w:noProof/>
          <w:sz w:val="24"/>
          <w:szCs w:val="24"/>
        </w:rPr>
        <w:t xml:space="preserve">ia en línea y la personalización. </w:t>
      </w:r>
    </w:p>
    <w:p w14:paraId="27D8DFF6"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El Reglamento exige que la Comisión lleve a cabo una </w:t>
      </w:r>
      <w:r>
        <w:rPr>
          <w:rFonts w:ascii="Times New Roman" w:hAnsi="Times New Roman"/>
          <w:b/>
          <w:bCs/>
          <w:noProof/>
          <w:sz w:val="24"/>
          <w:szCs w:val="24"/>
        </w:rPr>
        <w:t>evaluación</w:t>
      </w:r>
      <w:r>
        <w:rPr>
          <w:rFonts w:ascii="Times New Roman" w:hAnsi="Times New Roman"/>
          <w:noProof/>
          <w:sz w:val="24"/>
          <w:szCs w:val="24"/>
        </w:rPr>
        <w:t xml:space="preserve"> de la eficacia de las nuevas normas a más tardar en enero de 2023.</w:t>
      </w:r>
    </w:p>
    <w:p w14:paraId="4614B470"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Además, la UE ha revisado recientemente su marco jurídico para la protección de los consumidores. La nueva </w:t>
      </w:r>
      <w:r>
        <w:rPr>
          <w:rFonts w:ascii="Times New Roman" w:hAnsi="Times New Roman"/>
          <w:b/>
          <w:bCs/>
          <w:noProof/>
          <w:sz w:val="24"/>
          <w:szCs w:val="24"/>
        </w:rPr>
        <w:t>Directiva sobre la mejora de la aplicación y la modernización de las normas de protección de los consumidores</w:t>
      </w:r>
      <w:r>
        <w:rPr>
          <w:rFonts w:ascii="Times New Roman" w:hAnsi="Times New Roman" w:cs="Times New Roman"/>
          <w:noProof/>
          <w:sz w:val="24"/>
          <w:szCs w:val="24"/>
          <w:vertAlign w:val="superscript"/>
          <w:lang w:val="en-GB"/>
        </w:rPr>
        <w:footnoteReference w:id="78"/>
      </w:r>
      <w:r>
        <w:rPr>
          <w:rFonts w:ascii="Times New Roman" w:hAnsi="Times New Roman"/>
          <w:noProof/>
          <w:sz w:val="24"/>
          <w:szCs w:val="24"/>
        </w:rPr>
        <w:t xml:space="preserve"> y la próxima </w:t>
      </w:r>
      <w:r>
        <w:rPr>
          <w:rFonts w:ascii="Times New Roman" w:hAnsi="Times New Roman"/>
          <w:b/>
          <w:bCs/>
          <w:noProof/>
          <w:sz w:val="24"/>
          <w:szCs w:val="24"/>
        </w:rPr>
        <w:t>Directiva relativa a las</w:t>
      </w:r>
      <w:r>
        <w:rPr>
          <w:rFonts w:ascii="Times New Roman" w:hAnsi="Times New Roman"/>
          <w:b/>
          <w:bCs/>
          <w:noProof/>
          <w:sz w:val="24"/>
          <w:szCs w:val="24"/>
        </w:rPr>
        <w:t xml:space="preserve"> acciones de representación</w:t>
      </w:r>
      <w:r>
        <w:rPr>
          <w:rFonts w:ascii="Times New Roman" w:hAnsi="Times New Roman" w:cs="Times New Roman"/>
          <w:bCs/>
          <w:noProof/>
          <w:sz w:val="24"/>
          <w:szCs w:val="24"/>
          <w:vertAlign w:val="superscript"/>
          <w:lang w:val="en-GB"/>
        </w:rPr>
        <w:footnoteReference w:id="79"/>
      </w:r>
      <w:r>
        <w:rPr>
          <w:rFonts w:ascii="Times New Roman" w:hAnsi="Times New Roman"/>
          <w:noProof/>
          <w:sz w:val="24"/>
          <w:szCs w:val="24"/>
        </w:rPr>
        <w:t xml:space="preserve"> reforzarán de forma considerable los derechos de los consumidores, en particular al prever una mayor equidad digital, sanciones más estrictas y un mecanismo eficaz para la tutela colectiva. </w:t>
      </w:r>
    </w:p>
    <w:p w14:paraId="235AFEE3"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fin de garantizar una ejecución u</w:t>
      </w:r>
      <w:r>
        <w:rPr>
          <w:rFonts w:ascii="Times New Roman" w:hAnsi="Times New Roman"/>
          <w:noProof/>
          <w:sz w:val="24"/>
          <w:szCs w:val="24"/>
        </w:rPr>
        <w:t xml:space="preserve">niforme en toda la UE y ayudar a las autoridades a afrontar mejor las dificultades derivadas de la transformación digital, el </w:t>
      </w:r>
      <w:r>
        <w:rPr>
          <w:rFonts w:ascii="Times New Roman" w:hAnsi="Times New Roman"/>
          <w:b/>
          <w:bCs/>
          <w:noProof/>
          <w:sz w:val="24"/>
          <w:szCs w:val="24"/>
        </w:rPr>
        <w:t>Programa sobre el Mercado Único en el marco del nuevo MFP</w:t>
      </w:r>
      <w:r>
        <w:rPr>
          <w:rFonts w:ascii="Times New Roman" w:hAnsi="Times New Roman"/>
          <w:noProof/>
          <w:sz w:val="24"/>
          <w:szCs w:val="24"/>
        </w:rPr>
        <w:t xml:space="preserve"> dará prioridad a la financiación de actividades de desarrollo de las cap</w:t>
      </w:r>
      <w:r>
        <w:rPr>
          <w:rFonts w:ascii="Times New Roman" w:hAnsi="Times New Roman"/>
          <w:noProof/>
          <w:sz w:val="24"/>
          <w:szCs w:val="24"/>
        </w:rPr>
        <w:t xml:space="preserve">acidades de las autoridades nacionales. La Comisión prevé financiar un proyecto para establecer un </w:t>
      </w:r>
      <w:r>
        <w:rPr>
          <w:rFonts w:ascii="Times New Roman" w:hAnsi="Times New Roman"/>
          <w:b/>
          <w:noProof/>
          <w:sz w:val="24"/>
          <w:szCs w:val="24"/>
        </w:rPr>
        <w:t>«EU e-Lab»</w:t>
      </w:r>
      <w:r>
        <w:rPr>
          <w:rFonts w:ascii="Times New Roman" w:hAnsi="Times New Roman"/>
          <w:noProof/>
          <w:sz w:val="24"/>
          <w:szCs w:val="24"/>
        </w:rPr>
        <w:t xml:space="preserve"> como una plataforma que ofrecerá un conjunto de herramientas comunes que las autoridades puedan utilizar para llevar a cabo investigaciones en línea y vigilar los productos peligrosos vendidos en línea al desplegar soluciones informáticas avanzadas, utili</w:t>
      </w:r>
      <w:r>
        <w:rPr>
          <w:rFonts w:ascii="Times New Roman" w:hAnsi="Times New Roman"/>
          <w:noProof/>
          <w:sz w:val="24"/>
          <w:szCs w:val="24"/>
        </w:rPr>
        <w:t>zar la IA, técnicas de extracción de datos y rastreadores web. Además, intentará reforzar las capacidades de las futuras entidades habilitadas posibles en virtud de la próxima Directiva relativa a las acciones de representación y de las organizaciones de c</w:t>
      </w:r>
      <w:r>
        <w:rPr>
          <w:rFonts w:ascii="Times New Roman" w:hAnsi="Times New Roman"/>
          <w:noProof/>
          <w:sz w:val="24"/>
          <w:szCs w:val="24"/>
        </w:rPr>
        <w:t>onsumidores como organismos designados para notificar alertas de conformidad con el Reglamento sobre cooperación en materia de protección de los consumidores. La facilitación de la tutela individual seguirá siendo una prioridad con una financiación continu</w:t>
      </w:r>
      <w:r>
        <w:rPr>
          <w:rFonts w:ascii="Times New Roman" w:hAnsi="Times New Roman"/>
          <w:noProof/>
          <w:sz w:val="24"/>
          <w:szCs w:val="24"/>
        </w:rPr>
        <w:t>a de la UE y una modernización de los Centros Europeos del Consumidor y de las herramientas de resolución alternativa de litigios y resolución de litigios en línea. El apoyo técnico personalizado para el desarrollo de las capacidades administrativas de las</w:t>
      </w:r>
      <w:r>
        <w:rPr>
          <w:rFonts w:ascii="Times New Roman" w:hAnsi="Times New Roman"/>
          <w:noProof/>
          <w:sz w:val="24"/>
          <w:szCs w:val="24"/>
        </w:rPr>
        <w:t xml:space="preserve"> autoridades nacionales también es posible a través del Instrumento de Apoyo Técnico</w:t>
      </w:r>
      <w:r>
        <w:rPr>
          <w:rStyle w:val="Refdenotaalpie"/>
          <w:rFonts w:ascii="Times New Roman" w:hAnsi="Times New Roman" w:cs="Times New Roman"/>
          <w:noProof/>
          <w:sz w:val="24"/>
          <w:szCs w:val="24"/>
          <w:lang w:val="en-GB"/>
        </w:rPr>
        <w:footnoteReference w:id="80"/>
      </w:r>
      <w:r>
        <w:rPr>
          <w:rFonts w:ascii="Times New Roman" w:hAnsi="Times New Roman"/>
          <w:noProof/>
          <w:sz w:val="24"/>
          <w:szCs w:val="24"/>
        </w:rPr>
        <w:t>.</w:t>
      </w:r>
    </w:p>
    <w:p w14:paraId="74F107E7" w14:textId="77777777" w:rsidR="00450244" w:rsidRDefault="00EB0B0F">
      <w:pPr>
        <w:numPr>
          <w:ilvl w:val="0"/>
          <w:numId w:val="15"/>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noProof/>
          <w:sz w:val="24"/>
        </w:rPr>
      </w:pPr>
      <w:r>
        <w:rPr>
          <w:rFonts w:ascii="Times New Roman" w:hAnsi="Times New Roman"/>
          <w:b/>
          <w:bCs/>
          <w:noProof/>
          <w:sz w:val="24"/>
          <w:szCs w:val="24"/>
        </w:rPr>
        <w:t xml:space="preserve">Acción 11: </w:t>
      </w:r>
      <w:r>
        <w:rPr>
          <w:rFonts w:ascii="Times New Roman" w:hAnsi="Times New Roman"/>
          <w:noProof/>
          <w:sz w:val="24"/>
          <w:szCs w:val="24"/>
        </w:rPr>
        <w:t xml:space="preserve">la Comisión </w:t>
      </w:r>
      <w:r>
        <w:rPr>
          <w:rFonts w:ascii="Times New Roman" w:hAnsi="Times New Roman"/>
          <w:b/>
          <w:bCs/>
          <w:noProof/>
          <w:sz w:val="24"/>
          <w:szCs w:val="24"/>
        </w:rPr>
        <w:t>ayudará a los Estados miembros</w:t>
      </w:r>
      <w:r>
        <w:rPr>
          <w:rFonts w:ascii="Times New Roman" w:hAnsi="Times New Roman"/>
          <w:noProof/>
          <w:sz w:val="24"/>
          <w:szCs w:val="24"/>
        </w:rPr>
        <w:t xml:space="preserve"> con </w:t>
      </w:r>
      <w:r>
        <w:rPr>
          <w:rFonts w:ascii="Times New Roman" w:hAnsi="Times New Roman"/>
          <w:b/>
          <w:bCs/>
          <w:noProof/>
          <w:sz w:val="24"/>
          <w:szCs w:val="24"/>
        </w:rPr>
        <w:t>la transposición, la aplicación y la ejecución oportunas y eficaces</w:t>
      </w:r>
      <w:r>
        <w:rPr>
          <w:rFonts w:ascii="Times New Roman" w:hAnsi="Times New Roman"/>
          <w:noProof/>
          <w:sz w:val="24"/>
          <w:szCs w:val="24"/>
        </w:rPr>
        <w:t xml:space="preserve"> de la Directiva sobre la mejora de la apli</w:t>
      </w:r>
      <w:r>
        <w:rPr>
          <w:rFonts w:ascii="Times New Roman" w:hAnsi="Times New Roman"/>
          <w:noProof/>
          <w:sz w:val="24"/>
          <w:szCs w:val="24"/>
        </w:rPr>
        <w:t>cación y la modernización de las normas de protección de los consumidores, la cual entrará en aplicación en mayo de 2022, y de la futura Directiva relativa a las acciones de representación, una vez que haya sido formalmente adoptada y haya entrado en vigor</w:t>
      </w:r>
      <w:r>
        <w:rPr>
          <w:rFonts w:ascii="Times New Roman" w:hAnsi="Times New Roman"/>
          <w:noProof/>
          <w:sz w:val="24"/>
          <w:szCs w:val="24"/>
        </w:rPr>
        <w:t>.</w:t>
      </w:r>
    </w:p>
    <w:p w14:paraId="5DC92705" w14:textId="77777777" w:rsidR="00450244" w:rsidRDefault="00450244">
      <w:pPr>
        <w:pBdr>
          <w:top w:val="single" w:sz="4" w:space="1" w:color="auto"/>
          <w:left w:val="single" w:sz="4" w:space="4" w:color="auto"/>
          <w:bottom w:val="single" w:sz="4" w:space="1" w:color="auto"/>
          <w:right w:val="single" w:sz="4" w:space="4" w:color="auto"/>
        </w:pBdr>
        <w:spacing w:after="240" w:line="240" w:lineRule="auto"/>
        <w:ind w:left="-420"/>
        <w:contextualSpacing/>
        <w:jc w:val="both"/>
        <w:rPr>
          <w:rFonts w:ascii="Times New Roman" w:hAnsi="Times New Roman" w:cs="Times New Roman"/>
          <w:noProof/>
          <w:sz w:val="24"/>
          <w:szCs w:val="24"/>
          <w:lang w:val="es-ES_tradnl"/>
        </w:rPr>
      </w:pPr>
    </w:p>
    <w:p w14:paraId="08EADFA2" w14:textId="77777777" w:rsidR="00450244" w:rsidRDefault="00EB0B0F">
      <w:pPr>
        <w:numPr>
          <w:ilvl w:val="0"/>
          <w:numId w:val="15"/>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noProof/>
          <w:sz w:val="24"/>
        </w:rPr>
      </w:pPr>
      <w:r>
        <w:rPr>
          <w:rFonts w:ascii="Times New Roman" w:hAnsi="Times New Roman"/>
          <w:b/>
          <w:bCs/>
          <w:noProof/>
          <w:sz w:val="24"/>
          <w:szCs w:val="24"/>
        </w:rPr>
        <w:t>Acción 12:</w:t>
      </w:r>
      <w:r>
        <w:rPr>
          <w:rFonts w:ascii="Times New Roman" w:hAnsi="Times New Roman"/>
          <w:noProof/>
          <w:sz w:val="24"/>
          <w:szCs w:val="24"/>
        </w:rPr>
        <w:t xml:space="preserve"> en 2022 y posteriormente cada dos años, la Comisión, junto con las autoridades nacionales, presentará </w:t>
      </w:r>
      <w:r>
        <w:rPr>
          <w:rFonts w:ascii="Times New Roman" w:hAnsi="Times New Roman"/>
          <w:b/>
          <w:bCs/>
          <w:noProof/>
          <w:sz w:val="24"/>
          <w:szCs w:val="24"/>
        </w:rPr>
        <w:t>prioridades de aplicación</w:t>
      </w:r>
      <w:r>
        <w:rPr>
          <w:rFonts w:ascii="Times New Roman" w:hAnsi="Times New Roman"/>
          <w:noProof/>
          <w:sz w:val="24"/>
          <w:szCs w:val="24"/>
        </w:rPr>
        <w:t xml:space="preserve"> </w:t>
      </w:r>
      <w:r>
        <w:rPr>
          <w:rFonts w:ascii="Times New Roman" w:hAnsi="Times New Roman"/>
          <w:b/>
          <w:bCs/>
          <w:noProof/>
          <w:sz w:val="24"/>
          <w:szCs w:val="24"/>
        </w:rPr>
        <w:t>comunes</w:t>
      </w:r>
      <w:r>
        <w:rPr>
          <w:rFonts w:ascii="Times New Roman" w:hAnsi="Times New Roman"/>
          <w:noProof/>
          <w:sz w:val="24"/>
          <w:szCs w:val="24"/>
        </w:rPr>
        <w:t xml:space="preserve"> de la red de cooperación en materia de protección de los consumidores para abordar cuestiones de cumplimie</w:t>
      </w:r>
      <w:r>
        <w:rPr>
          <w:rFonts w:ascii="Times New Roman" w:hAnsi="Times New Roman"/>
          <w:noProof/>
          <w:sz w:val="24"/>
          <w:szCs w:val="24"/>
        </w:rPr>
        <w:t>nto identificadas en varios sectores.</w:t>
      </w:r>
    </w:p>
    <w:p w14:paraId="35920426" w14:textId="77777777" w:rsidR="00450244" w:rsidRDefault="00450244">
      <w:pPr>
        <w:pBdr>
          <w:top w:val="single" w:sz="4" w:space="1" w:color="auto"/>
          <w:left w:val="single" w:sz="4" w:space="4" w:color="auto"/>
          <w:bottom w:val="single" w:sz="4" w:space="1" w:color="auto"/>
          <w:right w:val="single" w:sz="4" w:space="4" w:color="auto"/>
        </w:pBdr>
        <w:spacing w:after="240" w:line="240" w:lineRule="auto"/>
        <w:ind w:left="-420"/>
        <w:contextualSpacing/>
        <w:jc w:val="both"/>
        <w:rPr>
          <w:rFonts w:ascii="Times New Roman" w:hAnsi="Times New Roman" w:cs="Times New Roman"/>
          <w:noProof/>
          <w:sz w:val="24"/>
          <w:szCs w:val="24"/>
          <w:lang w:val="es-ES_tradnl"/>
        </w:rPr>
      </w:pPr>
    </w:p>
    <w:p w14:paraId="3DB5E56B" w14:textId="77777777" w:rsidR="00450244" w:rsidRDefault="00EB0B0F">
      <w:pPr>
        <w:numPr>
          <w:ilvl w:val="0"/>
          <w:numId w:val="15"/>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cs="Times New Roman"/>
          <w:noProof/>
          <w:sz w:val="24"/>
          <w:szCs w:val="24"/>
        </w:rPr>
      </w:pPr>
      <w:r>
        <w:rPr>
          <w:rFonts w:ascii="Times New Roman" w:hAnsi="Times New Roman"/>
          <w:b/>
          <w:bCs/>
          <w:noProof/>
          <w:sz w:val="24"/>
          <w:szCs w:val="24"/>
        </w:rPr>
        <w:lastRenderedPageBreak/>
        <w:t>Acción 13:</w:t>
      </w:r>
      <w:r>
        <w:rPr>
          <w:rFonts w:ascii="Times New Roman" w:hAnsi="Times New Roman"/>
          <w:noProof/>
          <w:sz w:val="24"/>
          <w:szCs w:val="24"/>
        </w:rPr>
        <w:t xml:space="preserve"> Para 2022, la Comisión desplegará un conjunto de </w:t>
      </w:r>
      <w:r>
        <w:rPr>
          <w:rFonts w:ascii="Times New Roman" w:hAnsi="Times New Roman"/>
          <w:b/>
          <w:noProof/>
          <w:sz w:val="24"/>
          <w:szCs w:val="24"/>
        </w:rPr>
        <w:t>herramientas electrónicas innovadoras</w:t>
      </w:r>
      <w:r>
        <w:rPr>
          <w:rFonts w:ascii="Times New Roman" w:hAnsi="Times New Roman"/>
          <w:noProof/>
          <w:sz w:val="24"/>
          <w:szCs w:val="24"/>
        </w:rPr>
        <w:t xml:space="preserve"> para reforzar la capacidad de las autoridades nacionales para abordar las prácticas comerciales ilícitas en línea e ide</w:t>
      </w:r>
      <w:r>
        <w:rPr>
          <w:rFonts w:ascii="Times New Roman" w:hAnsi="Times New Roman"/>
          <w:noProof/>
          <w:sz w:val="24"/>
          <w:szCs w:val="24"/>
        </w:rPr>
        <w:t xml:space="preserve">ntificar los productos inseguros, </w:t>
      </w:r>
      <w:r>
        <w:rPr>
          <w:rFonts w:ascii="Times New Roman" w:hAnsi="Times New Roman"/>
          <w:noProof/>
          <w:color w:val="000000"/>
          <w:sz w:val="24"/>
          <w:szCs w:val="24"/>
        </w:rPr>
        <w:t>siguiendo los principios del Marco Europeo de Interoperabilidad</w:t>
      </w:r>
      <w:r>
        <w:rPr>
          <w:rStyle w:val="Refdenotaalpie"/>
          <w:rFonts w:ascii="Times New Roman" w:hAnsi="Times New Roman" w:cs="Times New Roman"/>
          <w:noProof/>
          <w:color w:val="000000"/>
          <w:sz w:val="24"/>
          <w:szCs w:val="24"/>
          <w:lang w:val="en-IE"/>
        </w:rPr>
        <w:footnoteReference w:id="81"/>
      </w:r>
      <w:r>
        <w:rPr>
          <w:rFonts w:ascii="Times New Roman" w:hAnsi="Times New Roman"/>
          <w:noProof/>
          <w:sz w:val="24"/>
          <w:szCs w:val="24"/>
        </w:rPr>
        <w:t>.</w:t>
      </w:r>
    </w:p>
    <w:p w14:paraId="062F1BE2" w14:textId="77777777" w:rsidR="00450244" w:rsidRDefault="00450244">
      <w:pPr>
        <w:pBdr>
          <w:top w:val="single" w:sz="4" w:space="1" w:color="auto"/>
          <w:left w:val="single" w:sz="4" w:space="4" w:color="auto"/>
          <w:bottom w:val="single" w:sz="4" w:space="1" w:color="auto"/>
          <w:right w:val="single" w:sz="4" w:space="4" w:color="auto"/>
        </w:pBdr>
        <w:spacing w:after="240" w:line="240" w:lineRule="auto"/>
        <w:ind w:left="-420"/>
        <w:contextualSpacing/>
        <w:jc w:val="both"/>
        <w:rPr>
          <w:rFonts w:ascii="Times New Roman" w:hAnsi="Times New Roman"/>
          <w:noProof/>
          <w:sz w:val="24"/>
          <w:lang w:val="es-ES_tradnl"/>
        </w:rPr>
      </w:pPr>
    </w:p>
    <w:p w14:paraId="584D50B1" w14:textId="77777777" w:rsidR="00450244" w:rsidRDefault="00EB0B0F">
      <w:pPr>
        <w:numPr>
          <w:ilvl w:val="0"/>
          <w:numId w:val="16"/>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noProof/>
          <w:sz w:val="24"/>
        </w:rPr>
      </w:pPr>
      <w:r>
        <w:rPr>
          <w:rFonts w:ascii="Times New Roman" w:hAnsi="Times New Roman"/>
          <w:b/>
          <w:bCs/>
          <w:noProof/>
          <w:sz w:val="24"/>
          <w:szCs w:val="24"/>
        </w:rPr>
        <w:t>Acción 14:</w:t>
      </w:r>
      <w:r>
        <w:rPr>
          <w:rFonts w:ascii="Times New Roman" w:hAnsi="Times New Roman"/>
          <w:noProof/>
          <w:sz w:val="24"/>
          <w:szCs w:val="24"/>
        </w:rPr>
        <w:t xml:space="preserve"> a más tardar en 2023, la Comisión </w:t>
      </w:r>
      <w:r>
        <w:rPr>
          <w:rFonts w:ascii="Times New Roman" w:hAnsi="Times New Roman"/>
          <w:b/>
          <w:noProof/>
          <w:sz w:val="24"/>
          <w:szCs w:val="24"/>
        </w:rPr>
        <w:t xml:space="preserve">evaluará la aplicación del Reglamento sobre cooperación en materia de protección de los consumidores, </w:t>
      </w:r>
      <w:r>
        <w:rPr>
          <w:rFonts w:ascii="Times New Roman" w:hAnsi="Times New Roman"/>
          <w:noProof/>
          <w:sz w:val="24"/>
          <w:szCs w:val="24"/>
        </w:rPr>
        <w:t>en particular para evaluar la eficacia de la ejecución para abordar las prácticas de la UE que contravengan el Derecho en materia de protección de los con</w:t>
      </w:r>
      <w:r>
        <w:rPr>
          <w:rFonts w:ascii="Times New Roman" w:hAnsi="Times New Roman"/>
          <w:noProof/>
          <w:sz w:val="24"/>
          <w:szCs w:val="24"/>
        </w:rPr>
        <w:t>sumidores.</w:t>
      </w:r>
    </w:p>
    <w:p w14:paraId="291D7ADB" w14:textId="77777777" w:rsidR="00450244" w:rsidRDefault="00450244">
      <w:pPr>
        <w:spacing w:after="0" w:line="240" w:lineRule="auto"/>
        <w:jc w:val="both"/>
        <w:rPr>
          <w:rFonts w:ascii="Times New Roman" w:hAnsi="Times New Roman" w:cs="Times New Roman"/>
          <w:noProof/>
          <w:sz w:val="24"/>
          <w:szCs w:val="24"/>
          <w:lang w:val="es-ES_tradnl"/>
        </w:rPr>
      </w:pPr>
    </w:p>
    <w:p w14:paraId="6AFEF441" w14:textId="77777777" w:rsidR="00450244" w:rsidRDefault="00EB0B0F">
      <w:pPr>
        <w:numPr>
          <w:ilvl w:val="1"/>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 Abordar las necesidades específicas de los consumidores </w:t>
      </w:r>
    </w:p>
    <w:p w14:paraId="51ED5381" w14:textId="77777777" w:rsidR="00450244" w:rsidRDefault="00EB0B0F">
      <w:pPr>
        <w:pBdr>
          <w:top w:val="single" w:sz="4" w:space="1" w:color="auto"/>
          <w:left w:val="single" w:sz="4" w:space="4" w:color="auto"/>
          <w:bottom w:val="single" w:sz="4" w:space="6"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 xml:space="preserve">Ejemplo: En 2018, el 10 % de los hogares de la UE acumulaba atrasos en la hipoteca, el alquiler, facturas de suministros básicos o pagos de préstamos, y estaba en riesgo de </w:t>
      </w:r>
      <w:r>
        <w:rPr>
          <w:rFonts w:ascii="Times New Roman" w:hAnsi="Times New Roman"/>
          <w:i/>
          <w:noProof/>
          <w:sz w:val="24"/>
          <w:szCs w:val="24"/>
        </w:rPr>
        <w:t xml:space="preserve">sobreendeudamiento. La actual pandemia está exacerbando la situación de muchos consumidores endeudados. La Comisión ha trabajado con los Estados miembros y las partes interesadas para identificar y promover mejores prácticas para ayudar a los consumidores </w:t>
      </w:r>
      <w:r>
        <w:rPr>
          <w:rFonts w:ascii="Times New Roman" w:hAnsi="Times New Roman"/>
          <w:i/>
          <w:noProof/>
          <w:sz w:val="24"/>
          <w:szCs w:val="24"/>
        </w:rPr>
        <w:t>con dificultades</w:t>
      </w:r>
      <w:r>
        <w:rPr>
          <w:rFonts w:ascii="Times New Roman" w:hAnsi="Times New Roman" w:cs="Times New Roman"/>
          <w:noProof/>
          <w:sz w:val="24"/>
          <w:szCs w:val="24"/>
          <w:vertAlign w:val="superscript"/>
          <w:lang w:val="en-GB"/>
        </w:rPr>
        <w:footnoteReference w:id="82"/>
      </w:r>
      <w:r>
        <w:rPr>
          <w:rFonts w:ascii="Times New Roman" w:hAnsi="Times New Roman"/>
          <w:i/>
          <w:noProof/>
          <w:sz w:val="24"/>
          <w:szCs w:val="24"/>
        </w:rPr>
        <w:t>, incluyendo un mejor acceso al asesoramiento en materia de endeudamiento. Estudios realizados demuestran que por cada euro gastado en este tipo de asesoramiento se pueden ahorrar más de dos euros en beneficios sociales.</w:t>
      </w:r>
    </w:p>
    <w:p w14:paraId="18A9594D"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Los instrumentos </w:t>
      </w:r>
      <w:r>
        <w:rPr>
          <w:rFonts w:ascii="Times New Roman" w:hAnsi="Times New Roman"/>
          <w:noProof/>
          <w:sz w:val="24"/>
          <w:szCs w:val="24"/>
        </w:rPr>
        <w:t>políticos en materia de consumidores protegen a todos los consumidores en sus tratos con comerciantes profesionales. Se supone que, en general, los consumidores son la parte más débil en una transacción y que, por consiguiente, sus intereses sanitarios, ec</w:t>
      </w:r>
      <w:r>
        <w:rPr>
          <w:rFonts w:ascii="Times New Roman" w:hAnsi="Times New Roman"/>
          <w:noProof/>
          <w:sz w:val="24"/>
          <w:szCs w:val="24"/>
        </w:rPr>
        <w:t xml:space="preserve">onómicos y de seguridad requieren protección. Sin embargo, algunos grupos de consumidores en determinadas situaciones pueden ser particularmente vulnerables y necesitar salvaguardias específicas. La </w:t>
      </w:r>
      <w:r>
        <w:rPr>
          <w:rFonts w:ascii="Times New Roman" w:hAnsi="Times New Roman"/>
          <w:b/>
          <w:noProof/>
          <w:sz w:val="24"/>
          <w:szCs w:val="24"/>
        </w:rPr>
        <w:t>vulnerabilidad de los consumidores</w:t>
      </w:r>
      <w:r>
        <w:rPr>
          <w:rFonts w:ascii="Times New Roman" w:hAnsi="Times New Roman"/>
          <w:noProof/>
          <w:sz w:val="24"/>
          <w:szCs w:val="24"/>
        </w:rPr>
        <w:t xml:space="preserve"> puede deberse a circun</w:t>
      </w:r>
      <w:r>
        <w:rPr>
          <w:rFonts w:ascii="Times New Roman" w:hAnsi="Times New Roman"/>
          <w:noProof/>
          <w:sz w:val="24"/>
          <w:szCs w:val="24"/>
        </w:rPr>
        <w:t>stancias sociales o a características particulares de consumidores individuales o grupos de consumidores, tales como su edad, género, estado de salud, alfabetización digital, capacidad de cálculo o situación económica</w:t>
      </w:r>
      <w:r>
        <w:rPr>
          <w:rFonts w:ascii="Times New Roman" w:hAnsi="Times New Roman" w:cs="Times New Roman"/>
          <w:noProof/>
          <w:sz w:val="24"/>
          <w:szCs w:val="24"/>
          <w:vertAlign w:val="superscript"/>
          <w:lang w:val="en-GB"/>
        </w:rPr>
        <w:footnoteReference w:id="83"/>
      </w:r>
      <w:r>
        <w:rPr>
          <w:rFonts w:ascii="Times New Roman" w:hAnsi="Times New Roman"/>
          <w:noProof/>
          <w:sz w:val="24"/>
          <w:szCs w:val="24"/>
        </w:rPr>
        <w:t>. Una falta de accesibilidad puede po</w:t>
      </w:r>
      <w:r>
        <w:rPr>
          <w:rFonts w:ascii="Times New Roman" w:hAnsi="Times New Roman"/>
          <w:noProof/>
          <w:sz w:val="24"/>
          <w:szCs w:val="24"/>
        </w:rPr>
        <w:t xml:space="preserve">ner a las personas mayores o con discapacidad en situaciones de exclusión o limitar sus interacciones. Estas formas de vulnerabilidad pueden haberse exacerbado por la actual pandemia, pero existen independientemente de ella. </w:t>
      </w:r>
    </w:p>
    <w:p w14:paraId="33D3A5DB"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El aumento de la </w:t>
      </w:r>
      <w:r>
        <w:rPr>
          <w:rFonts w:ascii="Times New Roman" w:hAnsi="Times New Roman"/>
          <w:b/>
          <w:bCs/>
          <w:noProof/>
          <w:sz w:val="24"/>
          <w:szCs w:val="24"/>
        </w:rPr>
        <w:t>vulnerabilida</w:t>
      </w:r>
      <w:r>
        <w:rPr>
          <w:rFonts w:ascii="Times New Roman" w:hAnsi="Times New Roman"/>
          <w:b/>
          <w:bCs/>
          <w:noProof/>
          <w:sz w:val="24"/>
          <w:szCs w:val="24"/>
        </w:rPr>
        <w:t xml:space="preserve">d financiera </w:t>
      </w:r>
      <w:r>
        <w:rPr>
          <w:rFonts w:ascii="Times New Roman" w:hAnsi="Times New Roman"/>
          <w:noProof/>
          <w:sz w:val="24"/>
          <w:szCs w:val="24"/>
        </w:rPr>
        <w:t>de muchos hogares de la UE resulta especialmente preocupante en la actualidad. Una encuesta realizada recientemente en veintiún Estados miembros demostró que, desde el comienzo de la crisis de la COVID-19, seis de cada diez consumidores han ex</w:t>
      </w:r>
      <w:r>
        <w:rPr>
          <w:rFonts w:ascii="Times New Roman" w:hAnsi="Times New Roman"/>
          <w:noProof/>
          <w:sz w:val="24"/>
          <w:szCs w:val="24"/>
        </w:rPr>
        <w:t>perimentado dificultades financieras</w:t>
      </w:r>
      <w:r>
        <w:rPr>
          <w:rFonts w:ascii="Times New Roman" w:hAnsi="Times New Roman" w:cs="Times New Roman"/>
          <w:noProof/>
          <w:sz w:val="24"/>
          <w:szCs w:val="24"/>
          <w:vertAlign w:val="superscript"/>
          <w:lang w:val="en-GB"/>
        </w:rPr>
        <w:footnoteReference w:id="84"/>
      </w:r>
      <w:r>
        <w:rPr>
          <w:rFonts w:ascii="Times New Roman" w:hAnsi="Times New Roman"/>
          <w:noProof/>
          <w:sz w:val="24"/>
          <w:szCs w:val="24"/>
        </w:rPr>
        <w:t xml:space="preserve">, lo cual puede conducir al sobreendeudamiento. El </w:t>
      </w:r>
      <w:r>
        <w:rPr>
          <w:rFonts w:ascii="Times New Roman" w:hAnsi="Times New Roman"/>
          <w:b/>
          <w:noProof/>
          <w:sz w:val="24"/>
          <w:szCs w:val="24"/>
        </w:rPr>
        <w:t>asesoramiento en materia de endeudamiento</w:t>
      </w:r>
      <w:r>
        <w:rPr>
          <w:rFonts w:ascii="Times New Roman" w:hAnsi="Times New Roman"/>
          <w:noProof/>
          <w:sz w:val="24"/>
          <w:szCs w:val="24"/>
        </w:rPr>
        <w:t xml:space="preserve"> ha demostrado ser una manera eficaz para ayudar a los consumidores sobreendeudados a volver </w:t>
      </w:r>
      <w:r>
        <w:rPr>
          <w:rFonts w:ascii="Times New Roman" w:hAnsi="Times New Roman"/>
          <w:noProof/>
          <w:sz w:val="24"/>
          <w:szCs w:val="24"/>
        </w:rPr>
        <w:lastRenderedPageBreak/>
        <w:t>a la sostenibilidad financiera, a la vez que garantiza que se pague a los acreedores. La Comisión está recopilando las mejores prácticas de los Estados miembros, e</w:t>
      </w:r>
      <w:r>
        <w:rPr>
          <w:rFonts w:ascii="Times New Roman" w:hAnsi="Times New Roman"/>
          <w:noProof/>
          <w:sz w:val="24"/>
          <w:szCs w:val="24"/>
        </w:rPr>
        <w:t>xaminando su posible reproducción e identificando las necesidades y oportunidades de financiación en el marco del nuevo MFP. Asimismo, en junio de 2020, la Comisión publicó la versión actualizada del código de conducta para la provisión de microcréditos en</w:t>
      </w:r>
      <w:r>
        <w:rPr>
          <w:rFonts w:ascii="Times New Roman" w:hAnsi="Times New Roman"/>
          <w:noProof/>
          <w:sz w:val="24"/>
          <w:szCs w:val="24"/>
        </w:rPr>
        <w:t xml:space="preserve"> la UE</w:t>
      </w:r>
      <w:r>
        <w:rPr>
          <w:rFonts w:ascii="Times New Roman" w:hAnsi="Times New Roman" w:cs="Times New Roman"/>
          <w:noProof/>
          <w:sz w:val="24"/>
          <w:szCs w:val="24"/>
          <w:vertAlign w:val="superscript"/>
          <w:lang w:val="en-GB"/>
        </w:rPr>
        <w:footnoteReference w:id="85"/>
      </w:r>
      <w:r>
        <w:rPr>
          <w:rFonts w:ascii="Times New Roman" w:hAnsi="Times New Roman"/>
          <w:noProof/>
          <w:sz w:val="24"/>
          <w:szCs w:val="24"/>
        </w:rPr>
        <w:t>. La revisión de la Directiva sobre crédito al consumo</w:t>
      </w:r>
      <w:r>
        <w:rPr>
          <w:rFonts w:ascii="Times New Roman" w:hAnsi="Times New Roman" w:cs="Times New Roman"/>
          <w:noProof/>
          <w:sz w:val="24"/>
          <w:szCs w:val="24"/>
          <w:vertAlign w:val="superscript"/>
          <w:lang w:val="en-GB"/>
        </w:rPr>
        <w:footnoteReference w:id="86"/>
      </w:r>
      <w:r>
        <w:rPr>
          <w:rFonts w:ascii="Times New Roman" w:hAnsi="Times New Roman"/>
          <w:b/>
          <w:bCs/>
          <w:noProof/>
          <w:sz w:val="24"/>
          <w:szCs w:val="24"/>
        </w:rPr>
        <w:t xml:space="preserve"> </w:t>
      </w:r>
      <w:r>
        <w:rPr>
          <w:rFonts w:ascii="Times New Roman" w:hAnsi="Times New Roman"/>
          <w:bCs/>
          <w:noProof/>
          <w:sz w:val="24"/>
          <w:szCs w:val="24"/>
        </w:rPr>
        <w:t>implicará</w:t>
      </w:r>
      <w:r>
        <w:rPr>
          <w:rFonts w:ascii="Times New Roman" w:hAnsi="Times New Roman"/>
          <w:noProof/>
          <w:sz w:val="24"/>
          <w:szCs w:val="24"/>
        </w:rPr>
        <w:t xml:space="preserve"> evaluar la manera de mejorar las normas que garantizan que los créditos solo se otorguen junto con una evaluación exhaustiva de la solvencia de los consumidores. Los consumidores ta</w:t>
      </w:r>
      <w:r>
        <w:rPr>
          <w:rFonts w:ascii="Times New Roman" w:hAnsi="Times New Roman"/>
          <w:noProof/>
          <w:sz w:val="24"/>
          <w:szCs w:val="24"/>
        </w:rPr>
        <w:t xml:space="preserve">mbién deben recibir toda la información precontractual y el asesoramiento necesarios y adecuados para tomar decisiones informadas a la hora de celebrar contratos de crédito. </w:t>
      </w:r>
    </w:p>
    <w:p w14:paraId="598E95F4"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Estas medidas son fundamentales para equiparar las necesidades financieras de los</w:t>
      </w:r>
      <w:r>
        <w:rPr>
          <w:rFonts w:ascii="Times New Roman" w:hAnsi="Times New Roman"/>
          <w:noProof/>
          <w:sz w:val="24"/>
          <w:szCs w:val="24"/>
        </w:rPr>
        <w:t xml:space="preserve"> consumidores a su capacidad de reembolso y, de este modo, reducir el riesgo de incumplimiento de pago y sobreendeudamiento. No obstante, en ocasiones pueden no ser capaces de reembolsar sus deudas cuando sean exigibles. Por consiguiente, puede ser necesar</w:t>
      </w:r>
      <w:r>
        <w:rPr>
          <w:rFonts w:ascii="Times New Roman" w:hAnsi="Times New Roman"/>
          <w:noProof/>
          <w:sz w:val="24"/>
          <w:szCs w:val="24"/>
        </w:rPr>
        <w:t>io evaluar los medios más adecuados para tratar el sobreendeudamiento de los consumidores, incluida la exoneración de deudas</w:t>
      </w:r>
      <w:r>
        <w:rPr>
          <w:rFonts w:ascii="Times New Roman" w:hAnsi="Times New Roman" w:cs="Times New Roman"/>
          <w:noProof/>
          <w:sz w:val="24"/>
          <w:szCs w:val="24"/>
          <w:vertAlign w:val="superscript"/>
          <w:lang w:val="en-GB"/>
        </w:rPr>
        <w:footnoteReference w:id="87"/>
      </w:r>
      <w:r>
        <w:rPr>
          <w:rFonts w:ascii="Times New Roman" w:hAnsi="Times New Roman"/>
          <w:noProof/>
          <w:sz w:val="24"/>
          <w:szCs w:val="24"/>
        </w:rPr>
        <w:t xml:space="preserve">. </w:t>
      </w:r>
    </w:p>
    <w:p w14:paraId="4E1B91D9"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asequibilidad es crucial para garantizar el acceso de los </w:t>
      </w:r>
      <w:r>
        <w:rPr>
          <w:rFonts w:ascii="Times New Roman" w:hAnsi="Times New Roman"/>
          <w:b/>
          <w:noProof/>
          <w:sz w:val="24"/>
          <w:szCs w:val="24"/>
        </w:rPr>
        <w:t>consumidores con bajos ingresos</w:t>
      </w:r>
      <w:r>
        <w:rPr>
          <w:rFonts w:ascii="Times New Roman" w:hAnsi="Times New Roman"/>
          <w:noProof/>
          <w:sz w:val="24"/>
          <w:szCs w:val="24"/>
        </w:rPr>
        <w:t xml:space="preserve"> a productos y servicios, como destaca la Red Europea de Política Social</w:t>
      </w:r>
      <w:r>
        <w:rPr>
          <w:rFonts w:ascii="Times New Roman" w:hAnsi="Times New Roman" w:cs="Times New Roman"/>
          <w:noProof/>
          <w:sz w:val="24"/>
          <w:szCs w:val="24"/>
          <w:vertAlign w:val="superscript"/>
          <w:lang w:val="en-GB"/>
        </w:rPr>
        <w:footnoteReference w:id="88"/>
      </w:r>
      <w:r>
        <w:rPr>
          <w:rFonts w:ascii="Times New Roman" w:hAnsi="Times New Roman"/>
          <w:noProof/>
          <w:sz w:val="24"/>
          <w:szCs w:val="24"/>
        </w:rPr>
        <w:t xml:space="preserve">. Algunos Estados miembros utilizan medidas de protección de los consumidores junto con medidas de protección social para atender a las personas con bajos ingresos. La Recomendación </w:t>
      </w:r>
      <w:r>
        <w:rPr>
          <w:rFonts w:ascii="Times New Roman" w:hAnsi="Times New Roman"/>
          <w:noProof/>
          <w:sz w:val="24"/>
          <w:szCs w:val="24"/>
        </w:rPr>
        <w:t>de la Comisión sobre la pobreza energética</w:t>
      </w:r>
      <w:r>
        <w:rPr>
          <w:rFonts w:ascii="Times New Roman" w:hAnsi="Times New Roman" w:cs="Times New Roman"/>
          <w:noProof/>
          <w:sz w:val="24"/>
          <w:szCs w:val="24"/>
          <w:vertAlign w:val="superscript"/>
          <w:lang w:val="en-GB"/>
        </w:rPr>
        <w:footnoteReference w:id="89"/>
      </w:r>
      <w:r>
        <w:rPr>
          <w:rFonts w:ascii="Times New Roman" w:hAnsi="Times New Roman"/>
          <w:noProof/>
          <w:sz w:val="24"/>
          <w:szCs w:val="24"/>
        </w:rPr>
        <w:t xml:space="preserve"> proporciona a los Estados miembros orientaciones sobre las maneras de abordar la pobreza energética, a fin de empoderar a los consumidores de energía vulnerables.</w:t>
      </w:r>
    </w:p>
    <w:p w14:paraId="12B7145E"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Las </w:t>
      </w:r>
      <w:r>
        <w:rPr>
          <w:rFonts w:ascii="Times New Roman" w:hAnsi="Times New Roman"/>
          <w:b/>
          <w:noProof/>
          <w:sz w:val="24"/>
          <w:szCs w:val="24"/>
        </w:rPr>
        <w:t>personas mayores y con discapacidad</w:t>
      </w:r>
      <w:r>
        <w:rPr>
          <w:rFonts w:ascii="Times New Roman" w:hAnsi="Times New Roman"/>
          <w:noProof/>
          <w:sz w:val="24"/>
          <w:szCs w:val="24"/>
        </w:rPr>
        <w:t xml:space="preserve"> tienen n</w:t>
      </w:r>
      <w:r>
        <w:rPr>
          <w:rFonts w:ascii="Times New Roman" w:hAnsi="Times New Roman"/>
          <w:noProof/>
          <w:sz w:val="24"/>
          <w:szCs w:val="24"/>
        </w:rPr>
        <w:t>ecesidades específicas relacionadas con el consumo. Es importante garantizar la disponibilidad de información clara, accesible y fácil de usar tanto en línea como fuera de línea, de conformidad con los requisitos de accesibilidad de los productos y servici</w:t>
      </w:r>
      <w:r>
        <w:rPr>
          <w:rFonts w:ascii="Times New Roman" w:hAnsi="Times New Roman"/>
          <w:noProof/>
          <w:sz w:val="24"/>
          <w:szCs w:val="24"/>
        </w:rPr>
        <w:t>os de la UE</w:t>
      </w:r>
      <w:r>
        <w:rPr>
          <w:rFonts w:ascii="Times New Roman" w:hAnsi="Times New Roman" w:cs="Times New Roman"/>
          <w:noProof/>
          <w:sz w:val="24"/>
          <w:szCs w:val="24"/>
          <w:vertAlign w:val="superscript"/>
          <w:lang w:val="en-GB"/>
        </w:rPr>
        <w:footnoteReference w:id="90"/>
      </w:r>
      <w:r>
        <w:rPr>
          <w:rFonts w:ascii="Times New Roman" w:hAnsi="Times New Roman"/>
          <w:noProof/>
          <w:sz w:val="24"/>
          <w:szCs w:val="24"/>
        </w:rPr>
        <w:t>. Los consumidores de edad avanzada y aquellos con discapacidad también necesitan productos y tecnologías de asistencia accesibles que sean compatibles con las tecnologías de uso general. Un enfoque justo y no discriminatorio de la transformac</w:t>
      </w:r>
      <w:r>
        <w:rPr>
          <w:rFonts w:ascii="Times New Roman" w:hAnsi="Times New Roman"/>
          <w:noProof/>
          <w:sz w:val="24"/>
          <w:szCs w:val="24"/>
        </w:rPr>
        <w:t>ión digital debe atender las necesidades de los consumidores de edad avanzada, los consumidores con discapacidad y, de manera más general, las personas «desconectadas» que pueden estar menos familiarizadas o sentirse menos a gusto con las herramientas digi</w:t>
      </w:r>
      <w:r>
        <w:rPr>
          <w:rFonts w:ascii="Times New Roman" w:hAnsi="Times New Roman"/>
          <w:noProof/>
          <w:sz w:val="24"/>
          <w:szCs w:val="24"/>
        </w:rPr>
        <w:t xml:space="preserve">tales y ser más propensas a caer víctimas del fraude. La experiencia de algunos Estados miembros demuestra que las </w:t>
      </w:r>
      <w:r>
        <w:rPr>
          <w:rFonts w:ascii="Times New Roman" w:hAnsi="Times New Roman"/>
          <w:b/>
          <w:noProof/>
          <w:sz w:val="24"/>
          <w:szCs w:val="24"/>
        </w:rPr>
        <w:t>iniciativas</w:t>
      </w:r>
      <w:r>
        <w:rPr>
          <w:rFonts w:ascii="Times New Roman" w:hAnsi="Times New Roman"/>
          <w:noProof/>
          <w:sz w:val="24"/>
          <w:szCs w:val="24"/>
        </w:rPr>
        <w:t xml:space="preserve"> </w:t>
      </w:r>
      <w:r>
        <w:rPr>
          <w:rFonts w:ascii="Times New Roman" w:hAnsi="Times New Roman"/>
          <w:b/>
          <w:bCs/>
          <w:noProof/>
          <w:sz w:val="24"/>
          <w:szCs w:val="24"/>
        </w:rPr>
        <w:t>locales</w:t>
      </w:r>
      <w:r>
        <w:rPr>
          <w:rFonts w:ascii="Times New Roman" w:hAnsi="Times New Roman"/>
          <w:b/>
          <w:noProof/>
          <w:sz w:val="24"/>
          <w:szCs w:val="24"/>
        </w:rPr>
        <w:t xml:space="preserve"> </w:t>
      </w:r>
      <w:r>
        <w:rPr>
          <w:rFonts w:ascii="Times New Roman" w:hAnsi="Times New Roman"/>
          <w:noProof/>
          <w:sz w:val="24"/>
          <w:szCs w:val="24"/>
        </w:rPr>
        <w:t xml:space="preserve">que ofrecen asesoramiento a los </w:t>
      </w:r>
      <w:r>
        <w:rPr>
          <w:rFonts w:ascii="Times New Roman" w:hAnsi="Times New Roman"/>
          <w:noProof/>
          <w:sz w:val="24"/>
          <w:szCs w:val="24"/>
          <w:bdr w:val="none" w:sz="0" w:space="0" w:color="auto" w:frame="1"/>
        </w:rPr>
        <w:lastRenderedPageBreak/>
        <w:t xml:space="preserve">consumidores </w:t>
      </w:r>
      <w:r>
        <w:rPr>
          <w:rFonts w:ascii="Times New Roman" w:hAnsi="Times New Roman"/>
          <w:noProof/>
          <w:sz w:val="24"/>
          <w:szCs w:val="24"/>
        </w:rPr>
        <w:t>en zonas rurales o distritos urbanos</w:t>
      </w:r>
      <w:r>
        <w:rPr>
          <w:rFonts w:ascii="Times New Roman" w:hAnsi="Times New Roman" w:cs="Times New Roman"/>
          <w:noProof/>
          <w:sz w:val="24"/>
          <w:szCs w:val="24"/>
          <w:vertAlign w:val="superscript"/>
          <w:lang w:val="en-GB"/>
        </w:rPr>
        <w:footnoteReference w:id="91"/>
      </w:r>
      <w:r>
        <w:rPr>
          <w:rFonts w:ascii="Times New Roman" w:hAnsi="Times New Roman"/>
          <w:noProof/>
          <w:sz w:val="24"/>
          <w:szCs w:val="24"/>
        </w:rPr>
        <w:t xml:space="preserve"> figuran entre las más efectivas. Las </w:t>
      </w:r>
      <w:r>
        <w:rPr>
          <w:rFonts w:ascii="Times New Roman" w:hAnsi="Times New Roman"/>
          <w:noProof/>
          <w:sz w:val="24"/>
          <w:szCs w:val="24"/>
        </w:rPr>
        <w:t>organizaciones de economía social están condiciones especialmente favorables para atender estas necesidades, gracias a su proximidad a las comunidades locales y rurales. Podrían promoverse iniciativas similares a través de acciones comunes a escala de la U</w:t>
      </w:r>
      <w:r>
        <w:rPr>
          <w:rFonts w:ascii="Times New Roman" w:hAnsi="Times New Roman"/>
          <w:noProof/>
          <w:sz w:val="24"/>
          <w:szCs w:val="24"/>
        </w:rPr>
        <w:t>E en el marco del futuro MFP.</w:t>
      </w:r>
    </w:p>
    <w:p w14:paraId="14950828"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Los niños y los menores</w:t>
      </w:r>
      <w:r>
        <w:rPr>
          <w:rFonts w:ascii="Times New Roman" w:hAnsi="Times New Roman"/>
          <w:noProof/>
          <w:sz w:val="24"/>
          <w:szCs w:val="24"/>
        </w:rPr>
        <w:t xml:space="preserve"> están particularmente expuestos a prácticas comerciales engañosas o agresivas en línea. Es importante invertir más en </w:t>
      </w:r>
      <w:r>
        <w:rPr>
          <w:rFonts w:ascii="Times New Roman" w:hAnsi="Times New Roman"/>
          <w:b/>
          <w:noProof/>
          <w:sz w:val="24"/>
          <w:szCs w:val="24"/>
        </w:rPr>
        <w:t>la educación</w:t>
      </w:r>
      <w:r>
        <w:rPr>
          <w:rFonts w:ascii="Times New Roman" w:hAnsi="Times New Roman"/>
          <w:noProof/>
          <w:sz w:val="24"/>
          <w:szCs w:val="24"/>
        </w:rPr>
        <w:t xml:space="preserve"> </w:t>
      </w:r>
      <w:r>
        <w:rPr>
          <w:rFonts w:ascii="Times New Roman" w:hAnsi="Times New Roman"/>
          <w:b/>
          <w:bCs/>
          <w:noProof/>
          <w:sz w:val="24"/>
          <w:szCs w:val="24"/>
        </w:rPr>
        <w:t>permanente</w:t>
      </w:r>
      <w:r>
        <w:rPr>
          <w:rFonts w:ascii="Times New Roman" w:hAnsi="Times New Roman"/>
          <w:b/>
          <w:noProof/>
          <w:sz w:val="24"/>
          <w:szCs w:val="24"/>
        </w:rPr>
        <w:t xml:space="preserve"> </w:t>
      </w:r>
      <w:r>
        <w:rPr>
          <w:rFonts w:ascii="Times New Roman" w:hAnsi="Times New Roman"/>
          <w:b/>
          <w:bCs/>
          <w:noProof/>
          <w:sz w:val="24"/>
          <w:szCs w:val="24"/>
        </w:rPr>
        <w:t>y la sensibilización de los consumidores,</w:t>
      </w:r>
      <w:r>
        <w:rPr>
          <w:rFonts w:ascii="Times New Roman" w:hAnsi="Times New Roman"/>
          <w:noProof/>
          <w:sz w:val="24"/>
          <w:szCs w:val="24"/>
        </w:rPr>
        <w:t xml:space="preserve"> para las personas </w:t>
      </w:r>
      <w:r>
        <w:rPr>
          <w:rFonts w:ascii="Times New Roman" w:hAnsi="Times New Roman"/>
          <w:noProof/>
          <w:sz w:val="24"/>
          <w:szCs w:val="24"/>
        </w:rPr>
        <w:t>en todas las etapas de la vida desde la edad escolar. Esto también debe incluir la promoción de la cultura financiera como una habilidad esencial para facultar a los consumidores para que tomen buenas decisiones con respecto a sus finanzas personales</w:t>
      </w:r>
      <w:r>
        <w:rPr>
          <w:rFonts w:ascii="Times New Roman" w:hAnsi="Times New Roman" w:cs="Times New Roman"/>
          <w:noProof/>
          <w:sz w:val="24"/>
          <w:szCs w:val="24"/>
          <w:vertAlign w:val="superscript"/>
          <w:lang w:val="en-IE"/>
        </w:rPr>
        <w:footnoteReference w:id="92"/>
      </w:r>
      <w:r>
        <w:rPr>
          <w:rFonts w:ascii="Times New Roman" w:hAnsi="Times New Roman"/>
          <w:noProof/>
          <w:sz w:val="24"/>
          <w:szCs w:val="24"/>
        </w:rPr>
        <w:t>. Un</w:t>
      </w:r>
      <w:r>
        <w:rPr>
          <w:rFonts w:ascii="Times New Roman" w:hAnsi="Times New Roman"/>
          <w:noProof/>
          <w:sz w:val="24"/>
          <w:szCs w:val="24"/>
        </w:rPr>
        <w:t>a mejor coordinación de medidas entre los agentes clave a escala nacional y de la UE, que abarquen cuestiones como el acceso a material educativo en línea y el desarrollo de capacidades, podría ayudar a lograr sinergias, una constante innovación, adaptació</w:t>
      </w:r>
      <w:r>
        <w:rPr>
          <w:rFonts w:ascii="Times New Roman" w:hAnsi="Times New Roman"/>
          <w:noProof/>
          <w:sz w:val="24"/>
          <w:szCs w:val="24"/>
        </w:rPr>
        <w:t xml:space="preserve">n y aceptación de nuevos enfoques pedagógicos y en línea, incluso a través de la creación de plataformas en internet y otras herramientas. </w:t>
      </w:r>
    </w:p>
    <w:p w14:paraId="3466AE3D"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Los niños también están particularmente expuestos a riesgos relacionados con los productos</w:t>
      </w:r>
      <w:r>
        <w:rPr>
          <w:rFonts w:ascii="Times New Roman" w:hAnsi="Times New Roman"/>
          <w:noProof/>
          <w:sz w:val="24"/>
          <w:szCs w:val="24"/>
          <w:vertAlign w:val="superscript"/>
          <w:lang w:val="en-GB"/>
        </w:rPr>
        <w:footnoteReference w:id="93"/>
      </w:r>
      <w:r>
        <w:rPr>
          <w:rFonts w:ascii="Times New Roman" w:hAnsi="Times New Roman"/>
          <w:noProof/>
          <w:sz w:val="24"/>
          <w:szCs w:val="24"/>
        </w:rPr>
        <w:t>. De todos los productos</w:t>
      </w:r>
      <w:r>
        <w:rPr>
          <w:rFonts w:ascii="Times New Roman" w:hAnsi="Times New Roman"/>
          <w:noProof/>
          <w:sz w:val="24"/>
          <w:szCs w:val="24"/>
        </w:rPr>
        <w:t xml:space="preserve"> notificados como peligrosos en el sistema Safety Gate/RAPEX en 2019, un 32 % fueron juguetes o productos para el cuidado infantil. Además de revisar la Directiva relativa a la seguridad general de los productos y reforzar el marco general, la Comisión des</w:t>
      </w:r>
      <w:r>
        <w:rPr>
          <w:rFonts w:ascii="Times New Roman" w:hAnsi="Times New Roman"/>
          <w:noProof/>
          <w:sz w:val="24"/>
          <w:szCs w:val="24"/>
        </w:rPr>
        <w:t xml:space="preserve">arrollará </w:t>
      </w:r>
      <w:r>
        <w:rPr>
          <w:rFonts w:ascii="Times New Roman" w:hAnsi="Times New Roman"/>
          <w:b/>
          <w:noProof/>
          <w:sz w:val="24"/>
          <w:szCs w:val="24"/>
        </w:rPr>
        <w:t>requisitos de seguridad actualizados para las normas sobre los productos infantiles</w:t>
      </w:r>
      <w:r>
        <w:rPr>
          <w:rFonts w:ascii="Times New Roman" w:hAnsi="Times New Roman"/>
          <w:noProof/>
          <w:sz w:val="24"/>
          <w:szCs w:val="24"/>
        </w:rPr>
        <w:t>. Asimismo, la Comisión prevé apoyar el muestreo y las pruebas de los productos infantiles</w:t>
      </w:r>
      <w:r>
        <w:rPr>
          <w:rFonts w:ascii="Times New Roman" w:hAnsi="Times New Roman" w:cs="Times New Roman"/>
          <w:noProof/>
          <w:sz w:val="24"/>
          <w:szCs w:val="24"/>
          <w:vertAlign w:val="superscript"/>
          <w:lang w:val="en-GB"/>
        </w:rPr>
        <w:footnoteReference w:id="94"/>
      </w:r>
      <w:r>
        <w:rPr>
          <w:rFonts w:ascii="Times New Roman" w:hAnsi="Times New Roman"/>
          <w:noProof/>
          <w:sz w:val="24"/>
          <w:szCs w:val="24"/>
        </w:rPr>
        <w:t xml:space="preserve"> a través de actividades coordinadas de supervisión del mercado por par</w:t>
      </w:r>
      <w:r>
        <w:rPr>
          <w:rFonts w:ascii="Times New Roman" w:hAnsi="Times New Roman"/>
          <w:noProof/>
          <w:sz w:val="24"/>
          <w:szCs w:val="24"/>
        </w:rPr>
        <w:t>te de los Estados miembros</w:t>
      </w:r>
      <w:r>
        <w:rPr>
          <w:rFonts w:ascii="Times New Roman" w:hAnsi="Times New Roman" w:cs="Times New Roman"/>
          <w:noProof/>
          <w:sz w:val="24"/>
          <w:szCs w:val="24"/>
          <w:vertAlign w:val="superscript"/>
          <w:lang w:val="en-GB"/>
        </w:rPr>
        <w:footnoteReference w:id="95"/>
      </w:r>
      <w:r>
        <w:rPr>
          <w:rFonts w:ascii="Times New Roman" w:hAnsi="Times New Roman"/>
          <w:noProof/>
          <w:sz w:val="24"/>
          <w:szCs w:val="24"/>
        </w:rPr>
        <w:t>. Además, incluirá la protección de la seguridad de los niños y otros grupos vulnerables en la edición de 2021 del Premio Europeo a la Seguridad de los Productos, a fin de promover las mejores prácticas empresariales en este ámb</w:t>
      </w:r>
      <w:r>
        <w:rPr>
          <w:rFonts w:ascii="Times New Roman" w:hAnsi="Times New Roman"/>
          <w:noProof/>
          <w:sz w:val="24"/>
          <w:szCs w:val="24"/>
        </w:rPr>
        <w:t xml:space="preserve">ito. </w:t>
      </w:r>
    </w:p>
    <w:p w14:paraId="62372D7B" w14:textId="77777777" w:rsidR="00450244" w:rsidRDefault="00EB0B0F">
      <w:pPr>
        <w:spacing w:after="240" w:line="240" w:lineRule="auto"/>
        <w:jc w:val="both"/>
        <w:rPr>
          <w:noProof/>
        </w:rPr>
      </w:pPr>
      <w:r>
        <w:rPr>
          <w:rFonts w:ascii="Times New Roman" w:hAnsi="Times New Roman"/>
          <w:noProof/>
          <w:sz w:val="24"/>
          <w:szCs w:val="24"/>
        </w:rPr>
        <w:t>La Directiva 2004/113/CE</w:t>
      </w:r>
      <w:r>
        <w:rPr>
          <w:rFonts w:ascii="Times New Roman" w:hAnsi="Times New Roman" w:cs="Times New Roman"/>
          <w:noProof/>
          <w:sz w:val="24"/>
          <w:szCs w:val="24"/>
          <w:vertAlign w:val="superscript"/>
          <w:lang w:val="en-GB"/>
        </w:rPr>
        <w:footnoteReference w:id="96"/>
      </w:r>
      <w:r>
        <w:rPr>
          <w:rFonts w:ascii="Times New Roman" w:hAnsi="Times New Roman"/>
          <w:noProof/>
          <w:sz w:val="24"/>
          <w:szCs w:val="24"/>
        </w:rPr>
        <w:t xml:space="preserve"> garantiza </w:t>
      </w:r>
      <w:r>
        <w:rPr>
          <w:rFonts w:ascii="Times New Roman" w:hAnsi="Times New Roman"/>
          <w:b/>
          <w:noProof/>
          <w:sz w:val="24"/>
          <w:szCs w:val="24"/>
        </w:rPr>
        <w:t>la igualdad de trato</w:t>
      </w:r>
      <w:r>
        <w:rPr>
          <w:rFonts w:ascii="Times New Roman" w:hAnsi="Times New Roman"/>
          <w:noProof/>
          <w:sz w:val="24"/>
          <w:szCs w:val="24"/>
        </w:rPr>
        <w:t xml:space="preserve"> entre hombres y mujeres en el acceso a bienes y servicios y su suministro. Esto garantiza la protección, por ejemplo, contra la denegación de acceso a servicios de crédito para mujeres embarazadas sobre la base de una posible pérdida de ingresos esperada </w:t>
      </w:r>
      <w:r>
        <w:rPr>
          <w:rFonts w:ascii="Times New Roman" w:hAnsi="Times New Roman"/>
          <w:noProof/>
          <w:sz w:val="24"/>
          <w:szCs w:val="24"/>
        </w:rPr>
        <w:t>y la exclusión de madres solteras de determinados servicios financieros sobre la base de un mayor riesgo percibido de impago.</w:t>
      </w:r>
      <w:r>
        <w:rPr>
          <w:noProof/>
        </w:rPr>
        <w:t xml:space="preserve"> </w:t>
      </w:r>
      <w:r>
        <w:rPr>
          <w:rFonts w:ascii="Times New Roman" w:hAnsi="Times New Roman"/>
          <w:noProof/>
          <w:sz w:val="24"/>
          <w:szCs w:val="24"/>
        </w:rPr>
        <w:t xml:space="preserve">Además, la </w:t>
      </w:r>
      <w:r>
        <w:rPr>
          <w:rFonts w:ascii="Times New Roman" w:hAnsi="Times New Roman"/>
          <w:noProof/>
          <w:sz w:val="24"/>
          <w:szCs w:val="24"/>
        </w:rPr>
        <w:lastRenderedPageBreak/>
        <w:t>Directiva 2000/43/CE</w:t>
      </w:r>
      <w:r>
        <w:rPr>
          <w:rStyle w:val="Refdenotaalpie"/>
          <w:rFonts w:ascii="Times New Roman" w:hAnsi="Times New Roman" w:cs="Times New Roman"/>
          <w:noProof/>
          <w:sz w:val="24"/>
          <w:szCs w:val="24"/>
        </w:rPr>
        <w:footnoteReference w:id="97"/>
      </w:r>
      <w:r>
        <w:rPr>
          <w:rFonts w:ascii="Times New Roman" w:hAnsi="Times New Roman"/>
          <w:noProof/>
          <w:sz w:val="24"/>
          <w:szCs w:val="24"/>
        </w:rPr>
        <w:t xml:space="preserve"> establece un marco para luchar contra la discriminación por motivos de origen racial o étnico, c</w:t>
      </w:r>
      <w:r>
        <w:rPr>
          <w:rFonts w:ascii="Times New Roman" w:hAnsi="Times New Roman"/>
          <w:noProof/>
          <w:sz w:val="24"/>
          <w:szCs w:val="24"/>
        </w:rPr>
        <w:t>on el fin de que se aplique en los Estados miembros el principio de igualdad de trato.</w:t>
      </w:r>
      <w:r>
        <w:rPr>
          <w:noProof/>
        </w:rPr>
        <w:t xml:space="preserve"> </w:t>
      </w:r>
    </w:p>
    <w:p w14:paraId="79D8A0EC"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El </w:t>
      </w:r>
      <w:r>
        <w:rPr>
          <w:rFonts w:ascii="Times New Roman" w:hAnsi="Times New Roman"/>
          <w:b/>
          <w:noProof/>
          <w:sz w:val="24"/>
          <w:szCs w:val="24"/>
        </w:rPr>
        <w:t>riesgo de discriminación</w:t>
      </w:r>
      <w:r>
        <w:rPr>
          <w:rFonts w:ascii="Times New Roman" w:hAnsi="Times New Roman"/>
          <w:noProof/>
          <w:sz w:val="24"/>
          <w:szCs w:val="24"/>
        </w:rPr>
        <w:t xml:space="preserve"> en ocasiones se ve exacerbado por los </w:t>
      </w:r>
      <w:r>
        <w:rPr>
          <w:rFonts w:ascii="Times New Roman" w:hAnsi="Times New Roman"/>
          <w:b/>
          <w:noProof/>
          <w:sz w:val="24"/>
          <w:szCs w:val="24"/>
        </w:rPr>
        <w:t xml:space="preserve">algoritmos </w:t>
      </w:r>
      <w:r>
        <w:rPr>
          <w:rFonts w:ascii="Times New Roman" w:hAnsi="Times New Roman"/>
          <w:noProof/>
          <w:sz w:val="24"/>
          <w:szCs w:val="24"/>
        </w:rPr>
        <w:t>utilizados por algunos proveedores de bienes y servicios,</w:t>
      </w:r>
      <w:r>
        <w:rPr>
          <w:rFonts w:ascii="Times New Roman" w:hAnsi="Times New Roman"/>
          <w:b/>
          <w:noProof/>
          <w:sz w:val="24"/>
          <w:szCs w:val="24"/>
        </w:rPr>
        <w:t xml:space="preserve"> </w:t>
      </w:r>
      <w:r>
        <w:rPr>
          <w:rFonts w:ascii="Times New Roman" w:hAnsi="Times New Roman"/>
          <w:noProof/>
          <w:sz w:val="24"/>
          <w:szCs w:val="24"/>
        </w:rPr>
        <w:t xml:space="preserve">y </w:t>
      </w:r>
      <w:r>
        <w:rPr>
          <w:rFonts w:ascii="Times New Roman" w:hAnsi="Times New Roman"/>
          <w:b/>
          <w:noProof/>
          <w:sz w:val="24"/>
          <w:szCs w:val="24"/>
        </w:rPr>
        <w:t>los cuales pueden estar formula</w:t>
      </w:r>
      <w:r>
        <w:rPr>
          <w:rFonts w:ascii="Times New Roman" w:hAnsi="Times New Roman"/>
          <w:b/>
          <w:noProof/>
          <w:sz w:val="24"/>
          <w:szCs w:val="24"/>
        </w:rPr>
        <w:t>dos con determinados sesgos</w:t>
      </w:r>
      <w:r>
        <w:rPr>
          <w:rFonts w:ascii="Times New Roman" w:hAnsi="Times New Roman"/>
          <w:noProof/>
          <w:sz w:val="24"/>
          <w:szCs w:val="24"/>
        </w:rPr>
        <w:t xml:space="preserve"> que a menudo se derivan de expectativas culturales o sociales preexistentes. Si bien esto puede conducir a la discriminación entre los consumidores en general, a menudo afecta a determinados grupos más que a otros, en particular</w:t>
      </w:r>
      <w:r>
        <w:rPr>
          <w:rFonts w:ascii="Times New Roman" w:hAnsi="Times New Roman"/>
          <w:noProof/>
          <w:sz w:val="24"/>
          <w:szCs w:val="24"/>
        </w:rPr>
        <w:t xml:space="preserve"> a las personas de origen étnico o racial minoritario</w:t>
      </w:r>
      <w:r>
        <w:rPr>
          <w:rStyle w:val="Refdenotaalpie"/>
          <w:rFonts w:ascii="Times New Roman" w:hAnsi="Times New Roman" w:cs="Times New Roman"/>
          <w:noProof/>
          <w:sz w:val="24"/>
          <w:szCs w:val="24"/>
        </w:rPr>
        <w:footnoteReference w:id="98"/>
      </w:r>
      <w:r>
        <w:rPr>
          <w:rFonts w:ascii="Times New Roman" w:hAnsi="Times New Roman"/>
          <w:noProof/>
          <w:sz w:val="24"/>
          <w:szCs w:val="24"/>
        </w:rPr>
        <w:t>. La próxima propuesta sobre un marco legislativo horizontal en materia de inteligencia artificial intentará abordar específicamente la manera de limitar los riesgos de que se incorporen sesgos y discr</w:t>
      </w:r>
      <w:r>
        <w:rPr>
          <w:rFonts w:ascii="Times New Roman" w:hAnsi="Times New Roman"/>
          <w:noProof/>
          <w:sz w:val="24"/>
          <w:szCs w:val="24"/>
        </w:rPr>
        <w:t>iminación en los sistemas algorítmicos.</w:t>
      </w:r>
    </w:p>
    <w:p w14:paraId="06A26464" w14:textId="77777777" w:rsidR="00450244" w:rsidRDefault="00EB0B0F">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Por último, las pruebas de la economía conductual</w:t>
      </w:r>
      <w:r>
        <w:rPr>
          <w:rFonts w:ascii="Times New Roman" w:hAnsi="Times New Roman" w:cs="Times New Roman"/>
          <w:noProof/>
          <w:sz w:val="24"/>
          <w:szCs w:val="24"/>
          <w:vertAlign w:val="superscript"/>
          <w:lang w:val="en-GB"/>
        </w:rPr>
        <w:footnoteReference w:id="99"/>
      </w:r>
      <w:r>
        <w:rPr>
          <w:rFonts w:ascii="Times New Roman" w:hAnsi="Times New Roman"/>
          <w:noProof/>
          <w:sz w:val="24"/>
          <w:szCs w:val="24"/>
        </w:rPr>
        <w:t xml:space="preserve"> demuestran que los comportamientos de los consumidores a menudo se ven afectados por sesgos cognitivos, especialmente en línea, los cuales pueden ser explotados por</w:t>
      </w:r>
      <w:r>
        <w:rPr>
          <w:rFonts w:ascii="Times New Roman" w:hAnsi="Times New Roman"/>
          <w:noProof/>
          <w:sz w:val="24"/>
          <w:szCs w:val="24"/>
        </w:rPr>
        <w:t xml:space="preserve"> los operadores para fines comerciales. Estas </w:t>
      </w:r>
      <w:r>
        <w:rPr>
          <w:rFonts w:ascii="Times New Roman" w:hAnsi="Times New Roman"/>
          <w:b/>
          <w:noProof/>
          <w:sz w:val="24"/>
          <w:szCs w:val="24"/>
        </w:rPr>
        <w:t xml:space="preserve">nuevas formas de riesgos </w:t>
      </w:r>
      <w:r>
        <w:rPr>
          <w:rFonts w:ascii="Times New Roman" w:hAnsi="Times New Roman"/>
          <w:noProof/>
          <w:sz w:val="24"/>
          <w:szCs w:val="24"/>
        </w:rPr>
        <w:t xml:space="preserve">pueden </w:t>
      </w:r>
      <w:r>
        <w:rPr>
          <w:rFonts w:ascii="Times New Roman" w:hAnsi="Times New Roman"/>
          <w:b/>
          <w:noProof/>
          <w:sz w:val="24"/>
          <w:szCs w:val="24"/>
        </w:rPr>
        <w:t>afectar prácticamente a todos los consumidores</w:t>
      </w:r>
      <w:r>
        <w:rPr>
          <w:rFonts w:ascii="Times New Roman" w:hAnsi="Times New Roman"/>
          <w:noProof/>
          <w:sz w:val="24"/>
          <w:szCs w:val="24"/>
        </w:rPr>
        <w:t>. Sin duda, las obligaciones de transparencia son importantes para abordar las asimetrías de información (como se mencionó anteriorm</w:t>
      </w:r>
      <w:r>
        <w:rPr>
          <w:rFonts w:ascii="Times New Roman" w:hAnsi="Times New Roman"/>
          <w:noProof/>
          <w:sz w:val="24"/>
          <w:szCs w:val="24"/>
        </w:rPr>
        <w:t>ente en el contexto de la transformación digital), pero se requieren más evaluaciones para determinar la necesidad de adoptar medidas adicionales para abordar esta forma dinámica de vulnerabilidad.</w:t>
      </w:r>
    </w:p>
    <w:p w14:paraId="1EF1FE1D" w14:textId="77777777" w:rsidR="00450244" w:rsidRDefault="00EB0B0F">
      <w:pPr>
        <w:numPr>
          <w:ilvl w:val="0"/>
          <w:numId w:val="17"/>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Acción 15:</w:t>
      </w:r>
      <w:r>
        <w:rPr>
          <w:rFonts w:ascii="Times New Roman" w:hAnsi="Times New Roman"/>
          <w:noProof/>
          <w:sz w:val="24"/>
          <w:szCs w:val="24"/>
        </w:rPr>
        <w:t xml:space="preserve"> a partir de 2021, la Comisión prevé aumentar la financiación de medidas que </w:t>
      </w:r>
      <w:r>
        <w:rPr>
          <w:rFonts w:ascii="Times New Roman" w:hAnsi="Times New Roman"/>
          <w:b/>
          <w:bCs/>
          <w:noProof/>
          <w:sz w:val="24"/>
          <w:szCs w:val="24"/>
        </w:rPr>
        <w:t>mejoren la disponibilidad y la calidad de los servicios de asesoramiento en materia de endeudamiento</w:t>
      </w:r>
      <w:r>
        <w:rPr>
          <w:rFonts w:ascii="Times New Roman" w:hAnsi="Times New Roman"/>
          <w:noProof/>
          <w:sz w:val="24"/>
          <w:szCs w:val="24"/>
        </w:rPr>
        <w:t xml:space="preserve"> en los Estados miembros. </w:t>
      </w:r>
    </w:p>
    <w:p w14:paraId="44AE5156" w14:textId="77777777" w:rsidR="00450244" w:rsidRDefault="00EB0B0F">
      <w:pPr>
        <w:numPr>
          <w:ilvl w:val="0"/>
          <w:numId w:val="17"/>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Acción 16:</w:t>
      </w:r>
      <w:r>
        <w:rPr>
          <w:rFonts w:ascii="Times New Roman" w:hAnsi="Times New Roman"/>
          <w:noProof/>
          <w:sz w:val="24"/>
          <w:szCs w:val="24"/>
        </w:rPr>
        <w:t xml:space="preserve"> A partir de 2021, la Comisión pretende ap</w:t>
      </w:r>
      <w:r>
        <w:rPr>
          <w:rFonts w:ascii="Times New Roman" w:hAnsi="Times New Roman"/>
          <w:noProof/>
          <w:sz w:val="24"/>
          <w:szCs w:val="24"/>
        </w:rPr>
        <w:t xml:space="preserve">oyar iniciativas para proporcionar </w:t>
      </w:r>
      <w:r>
        <w:rPr>
          <w:rFonts w:ascii="Times New Roman" w:hAnsi="Times New Roman"/>
          <w:b/>
          <w:bCs/>
          <w:noProof/>
          <w:sz w:val="24"/>
          <w:szCs w:val="24"/>
        </w:rPr>
        <w:t>asesoramiento</w:t>
      </w:r>
      <w:r>
        <w:rPr>
          <w:rFonts w:ascii="Times New Roman" w:hAnsi="Times New Roman"/>
          <w:noProof/>
          <w:sz w:val="24"/>
          <w:szCs w:val="24"/>
        </w:rPr>
        <w:t xml:space="preserve"> </w:t>
      </w:r>
      <w:r>
        <w:rPr>
          <w:rFonts w:ascii="Times New Roman" w:hAnsi="Times New Roman"/>
          <w:b/>
          <w:bCs/>
          <w:noProof/>
          <w:sz w:val="24"/>
          <w:szCs w:val="24"/>
        </w:rPr>
        <w:t>local</w:t>
      </w:r>
      <w:r>
        <w:rPr>
          <w:rFonts w:ascii="Times New Roman" w:hAnsi="Times New Roman"/>
          <w:noProof/>
          <w:sz w:val="24"/>
          <w:szCs w:val="24"/>
        </w:rPr>
        <w:t xml:space="preserve"> </w:t>
      </w:r>
      <w:r>
        <w:rPr>
          <w:rFonts w:ascii="Times New Roman" w:hAnsi="Times New Roman"/>
          <w:b/>
          <w:bCs/>
          <w:noProof/>
          <w:sz w:val="24"/>
          <w:szCs w:val="24"/>
        </w:rPr>
        <w:t>a los consumidores</w:t>
      </w:r>
      <w:r>
        <w:rPr>
          <w:rFonts w:ascii="Times New Roman" w:hAnsi="Times New Roman"/>
          <w:noProof/>
          <w:sz w:val="24"/>
          <w:szCs w:val="24"/>
        </w:rPr>
        <w:t xml:space="preserve"> que, por motivos estructurales o personales, no tengan acceso al apoyo y la información ofrecidos en línea o en las oficinas centrales de información.</w:t>
      </w:r>
    </w:p>
    <w:p w14:paraId="6E732FEC" w14:textId="77777777" w:rsidR="00450244" w:rsidRDefault="00EB0B0F">
      <w:pPr>
        <w:numPr>
          <w:ilvl w:val="0"/>
          <w:numId w:val="17"/>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Acción 17:</w:t>
      </w:r>
      <w:r>
        <w:rPr>
          <w:rFonts w:ascii="Times New Roman" w:hAnsi="Times New Roman"/>
          <w:noProof/>
          <w:sz w:val="24"/>
          <w:szCs w:val="24"/>
        </w:rPr>
        <w:t xml:space="preserve"> En 2021, la Comisión</w:t>
      </w:r>
      <w:r>
        <w:rPr>
          <w:rFonts w:ascii="Times New Roman" w:hAnsi="Times New Roman"/>
          <w:noProof/>
          <w:sz w:val="24"/>
          <w:szCs w:val="24"/>
        </w:rPr>
        <w:t xml:space="preserve"> prevé preparar una </w:t>
      </w:r>
      <w:r>
        <w:rPr>
          <w:rFonts w:ascii="Times New Roman" w:hAnsi="Times New Roman"/>
          <w:b/>
          <w:noProof/>
          <w:sz w:val="24"/>
          <w:szCs w:val="24"/>
        </w:rPr>
        <w:t>Decisión sobre los requisitos de seguridad</w:t>
      </w:r>
      <w:r>
        <w:rPr>
          <w:rFonts w:ascii="Times New Roman" w:hAnsi="Times New Roman"/>
          <w:noProof/>
          <w:sz w:val="24"/>
          <w:szCs w:val="24"/>
        </w:rPr>
        <w:t xml:space="preserve"> que deben cumplir las normas sobre los</w:t>
      </w:r>
      <w:r>
        <w:rPr>
          <w:rFonts w:ascii="Times New Roman" w:hAnsi="Times New Roman"/>
          <w:b/>
          <w:noProof/>
          <w:sz w:val="24"/>
          <w:szCs w:val="24"/>
        </w:rPr>
        <w:t xml:space="preserve"> productos infantiles</w:t>
      </w:r>
      <w:r>
        <w:rPr>
          <w:rFonts w:ascii="Times New Roman" w:hAnsi="Times New Roman"/>
          <w:noProof/>
          <w:sz w:val="24"/>
          <w:szCs w:val="24"/>
        </w:rPr>
        <w:t>, además de reforzar el marco de seguridad de los productos a través de una propuesta de revisión de la Directiva relativa a la seguri</w:t>
      </w:r>
      <w:r>
        <w:rPr>
          <w:rFonts w:ascii="Times New Roman" w:hAnsi="Times New Roman"/>
          <w:noProof/>
          <w:sz w:val="24"/>
          <w:szCs w:val="24"/>
        </w:rPr>
        <w:t xml:space="preserve">dad general de los productos. </w:t>
      </w:r>
    </w:p>
    <w:p w14:paraId="54026F36" w14:textId="77777777" w:rsidR="00450244" w:rsidRDefault="00EB0B0F">
      <w:pPr>
        <w:numPr>
          <w:ilvl w:val="0"/>
          <w:numId w:val="18"/>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Acción 18:</w:t>
      </w:r>
      <w:r>
        <w:rPr>
          <w:rFonts w:ascii="Times New Roman" w:hAnsi="Times New Roman"/>
          <w:noProof/>
          <w:sz w:val="24"/>
          <w:szCs w:val="24"/>
        </w:rPr>
        <w:t xml:space="preserve"> para 2023, la Comisión desarrollará un </w:t>
      </w:r>
      <w:r>
        <w:rPr>
          <w:rFonts w:ascii="Times New Roman" w:hAnsi="Times New Roman"/>
          <w:b/>
          <w:noProof/>
          <w:sz w:val="24"/>
          <w:szCs w:val="24"/>
        </w:rPr>
        <w:t>enfoque estratégico para mejorar la sensibilización y la educación de los consumidores</w:t>
      </w:r>
      <w:r>
        <w:rPr>
          <w:rFonts w:ascii="Times New Roman" w:hAnsi="Times New Roman"/>
          <w:noProof/>
          <w:sz w:val="24"/>
          <w:szCs w:val="24"/>
        </w:rPr>
        <w:t>, atendiendo asimismo las necesidades de distintos grupos, sobre la base de enfoques de i</w:t>
      </w:r>
      <w:r>
        <w:rPr>
          <w:rFonts w:ascii="Times New Roman" w:hAnsi="Times New Roman"/>
          <w:noProof/>
          <w:sz w:val="24"/>
          <w:szCs w:val="24"/>
        </w:rPr>
        <w:t xml:space="preserve">gualdad y no discriminación, entre otras cosas. </w:t>
      </w:r>
    </w:p>
    <w:p w14:paraId="7C715BD5" w14:textId="77777777" w:rsidR="00450244" w:rsidRDefault="00450244">
      <w:pPr>
        <w:spacing w:after="0" w:line="240" w:lineRule="auto"/>
        <w:jc w:val="both"/>
        <w:rPr>
          <w:rFonts w:ascii="Times New Roman" w:hAnsi="Times New Roman" w:cs="Times New Roman"/>
          <w:noProof/>
          <w:sz w:val="20"/>
          <w:szCs w:val="24"/>
          <w:lang w:val="es-ES_tradnl"/>
        </w:rPr>
      </w:pPr>
    </w:p>
    <w:p w14:paraId="23DCE5D4" w14:textId="77777777" w:rsidR="00450244" w:rsidRDefault="00EB0B0F">
      <w:pPr>
        <w:keepNext/>
        <w:numPr>
          <w:ilvl w:val="1"/>
          <w:numId w:val="1"/>
        </w:numPr>
        <w:spacing w:after="24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lastRenderedPageBreak/>
        <w:t xml:space="preserve"> Protección de los consumidores en el contexto mundial </w:t>
      </w:r>
    </w:p>
    <w:p w14:paraId="6C69BBC5" w14:textId="77777777" w:rsidR="00450244" w:rsidRDefault="00EB0B0F">
      <w:p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i/>
          <w:noProof/>
          <w:sz w:val="24"/>
          <w:szCs w:val="24"/>
        </w:rPr>
        <w:t xml:space="preserve">Ejemplo: Con el aumento del comercio electrónico, la cooperación con socios internacionales, especialmente con China, se vuelve cada vez más </w:t>
      </w:r>
      <w:r>
        <w:rPr>
          <w:rFonts w:ascii="Times New Roman" w:hAnsi="Times New Roman"/>
          <w:i/>
          <w:noProof/>
          <w:sz w:val="24"/>
          <w:szCs w:val="24"/>
        </w:rPr>
        <w:t>importante. El porcentaje de compras a vendedores fuera de la UE aumentó del 17 % en 2014 al 27 % en 2019</w:t>
      </w:r>
      <w:r>
        <w:rPr>
          <w:rFonts w:ascii="Times New Roman" w:hAnsi="Times New Roman" w:cs="Times New Roman"/>
          <w:i/>
          <w:noProof/>
          <w:sz w:val="24"/>
          <w:szCs w:val="24"/>
          <w:vertAlign w:val="superscript"/>
          <w:lang w:val="en-GB"/>
        </w:rPr>
        <w:footnoteReference w:id="100"/>
      </w:r>
      <w:r>
        <w:rPr>
          <w:rFonts w:ascii="Times New Roman" w:hAnsi="Times New Roman"/>
          <w:i/>
          <w:noProof/>
          <w:sz w:val="24"/>
          <w:szCs w:val="24"/>
        </w:rPr>
        <w:t>. La intensificación de la cooperación con China en materia de seguridad de los productos mediante un plan de acción que preste especial atención a l</w:t>
      </w:r>
      <w:r>
        <w:rPr>
          <w:rFonts w:ascii="Times New Roman" w:hAnsi="Times New Roman"/>
          <w:i/>
          <w:noProof/>
          <w:sz w:val="24"/>
          <w:szCs w:val="24"/>
        </w:rPr>
        <w:t>os productos vendidos por internet podría ayudar a reducir la cantidad de productos inseguros vendidos directamente a los consumidores de la UE.</w:t>
      </w:r>
    </w:p>
    <w:p w14:paraId="2F5578E4" w14:textId="77777777" w:rsidR="00450244" w:rsidRDefault="00EB0B0F">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Las cadenas de producción y de valor </w:t>
      </w:r>
      <w:r>
        <w:rPr>
          <w:rFonts w:ascii="Times New Roman" w:hAnsi="Times New Roman"/>
          <w:b/>
          <w:bCs/>
          <w:noProof/>
          <w:sz w:val="24"/>
          <w:szCs w:val="24"/>
        </w:rPr>
        <w:t>tienen un carácter cada vez más global y están cada vez más interconectada</w:t>
      </w:r>
      <w:r>
        <w:rPr>
          <w:rFonts w:ascii="Times New Roman" w:hAnsi="Times New Roman"/>
          <w:b/>
          <w:bCs/>
          <w:noProof/>
          <w:sz w:val="24"/>
          <w:szCs w:val="24"/>
        </w:rPr>
        <w:t>s</w:t>
      </w:r>
      <w:r>
        <w:rPr>
          <w:rFonts w:ascii="Times New Roman" w:hAnsi="Times New Roman"/>
          <w:noProof/>
          <w:sz w:val="24"/>
          <w:szCs w:val="24"/>
        </w:rPr>
        <w:t>. Las cadenas minoristas y de distribución están impulsadas por el rápido crecimiento del comercio en línea y la economía de las plataformas. Como resultado, es importante establecer una estrecha cooperación internacional entre las autoridades y todos los</w:t>
      </w:r>
      <w:r>
        <w:rPr>
          <w:rFonts w:ascii="Times New Roman" w:hAnsi="Times New Roman"/>
          <w:noProof/>
          <w:sz w:val="24"/>
          <w:szCs w:val="24"/>
        </w:rPr>
        <w:t xml:space="preserve"> agentes de la cadena de suministro para garantizar la protección eficaz de los consumidores. Al mismo tiempo, es importante que la UE proyecte a escala internacional su alto nivel de protección de los consumidores como un valor y un modelo europeo.</w:t>
      </w:r>
    </w:p>
    <w:p w14:paraId="7D0B9446" w14:textId="77777777" w:rsidR="00450244" w:rsidRDefault="00EB0B0F">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Garant</w:t>
      </w:r>
      <w:r>
        <w:rPr>
          <w:rFonts w:ascii="Times New Roman" w:hAnsi="Times New Roman"/>
          <w:noProof/>
          <w:sz w:val="24"/>
          <w:szCs w:val="24"/>
        </w:rPr>
        <w:t>izar la seguridad de las importaciones y proteger a los consumidores de la UE contra las prácticas comerciales desleales utilizadas por los operadores no establecidos en la UE requiere una acción reforzada dentro de la UE a través de herramientas más sólid</w:t>
      </w:r>
      <w:r>
        <w:rPr>
          <w:rFonts w:ascii="Times New Roman" w:hAnsi="Times New Roman"/>
          <w:noProof/>
          <w:sz w:val="24"/>
          <w:szCs w:val="24"/>
        </w:rPr>
        <w:t xml:space="preserve">as para la supervisión del mercado y una cooperación más estrecha con las autoridades de los </w:t>
      </w:r>
      <w:r>
        <w:rPr>
          <w:rFonts w:ascii="Times New Roman" w:hAnsi="Times New Roman"/>
          <w:b/>
          <w:noProof/>
          <w:sz w:val="24"/>
          <w:szCs w:val="24"/>
        </w:rPr>
        <w:t>países socios de la UE</w:t>
      </w:r>
      <w:r>
        <w:rPr>
          <w:rFonts w:ascii="Times New Roman" w:hAnsi="Times New Roman"/>
          <w:noProof/>
          <w:sz w:val="24"/>
          <w:szCs w:val="24"/>
        </w:rPr>
        <w:t>. Un gran volumen de productos peligrosos detectados en la UE provienen de terceros países. En 2019, por ejemplo, el 64 % de las alertas noti</w:t>
      </w:r>
      <w:r>
        <w:rPr>
          <w:rFonts w:ascii="Times New Roman" w:hAnsi="Times New Roman"/>
          <w:noProof/>
          <w:sz w:val="24"/>
          <w:szCs w:val="24"/>
        </w:rPr>
        <w:t>ficadas en Safety Gate/RAPEX se refería a productos fabricados fuera del EEE, a menudo en China. Desde 2006, la Comisión mantiene una cooperación en materia de seguridad de los productos a través del sistema RAPEX-China y esto ha ayudado a reducir la canti</w:t>
      </w:r>
      <w:r>
        <w:rPr>
          <w:rFonts w:ascii="Times New Roman" w:hAnsi="Times New Roman"/>
          <w:noProof/>
          <w:sz w:val="24"/>
          <w:szCs w:val="24"/>
        </w:rPr>
        <w:t xml:space="preserve">dad de productos inseguros, incluso si la cifra sigue siendo elevada en términos generales. </w:t>
      </w:r>
    </w:p>
    <w:p w14:paraId="40442C47" w14:textId="77777777" w:rsidR="00450244" w:rsidRDefault="00EB0B0F">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cooperación y el intercambio de datos sobre productos peligrosos con </w:t>
      </w:r>
      <w:r>
        <w:rPr>
          <w:rFonts w:ascii="Times New Roman" w:hAnsi="Times New Roman"/>
          <w:b/>
          <w:bCs/>
          <w:noProof/>
          <w:sz w:val="24"/>
          <w:szCs w:val="24"/>
        </w:rPr>
        <w:t>países con mercados similares</w:t>
      </w:r>
      <w:r>
        <w:rPr>
          <w:rFonts w:ascii="Times New Roman" w:hAnsi="Times New Roman"/>
          <w:noProof/>
          <w:sz w:val="24"/>
          <w:szCs w:val="24"/>
        </w:rPr>
        <w:t xml:space="preserve"> podría ser otra manera de garantizar la seguridad de los cons</w:t>
      </w:r>
      <w:r>
        <w:rPr>
          <w:rFonts w:ascii="Times New Roman" w:hAnsi="Times New Roman"/>
          <w:noProof/>
          <w:sz w:val="24"/>
          <w:szCs w:val="24"/>
        </w:rPr>
        <w:t>umidores de la UE. De este modo, los Estados miembros podrían orientar mejor sus actividades y abordar los riesgos nuevos y emergentes. Para apoyar este esfuerzo, la Comisión ha creado mecanismos para un intercambio regular de información sobre productos p</w:t>
      </w:r>
      <w:r>
        <w:rPr>
          <w:rFonts w:ascii="Times New Roman" w:hAnsi="Times New Roman"/>
          <w:noProof/>
          <w:sz w:val="24"/>
          <w:szCs w:val="24"/>
        </w:rPr>
        <w:t xml:space="preserve">eligrosos con </w:t>
      </w:r>
      <w:r>
        <w:rPr>
          <w:rFonts w:ascii="Times New Roman" w:hAnsi="Times New Roman"/>
          <w:b/>
          <w:noProof/>
          <w:sz w:val="24"/>
          <w:szCs w:val="24"/>
        </w:rPr>
        <w:t>Canadá</w:t>
      </w:r>
      <w:r>
        <w:rPr>
          <w:rFonts w:ascii="Times New Roman" w:hAnsi="Times New Roman"/>
          <w:noProof/>
          <w:sz w:val="24"/>
          <w:szCs w:val="24"/>
        </w:rPr>
        <w:t>. También aprovecha el importante potencial de la política comercial y está debatiendo la inclusión de un intercambio similar sobre la seguridad y la conformidad de los productos no alimentarios y la consiguiente supervisión del mercado</w:t>
      </w:r>
      <w:r>
        <w:rPr>
          <w:rFonts w:ascii="Times New Roman" w:hAnsi="Times New Roman"/>
          <w:noProof/>
          <w:sz w:val="24"/>
          <w:szCs w:val="24"/>
        </w:rPr>
        <w:t xml:space="preserve"> en los acuerdos comerciales que actualmente se encuentran en fase de preparación (por ejemplo, con </w:t>
      </w:r>
      <w:r>
        <w:rPr>
          <w:rFonts w:ascii="Times New Roman" w:hAnsi="Times New Roman"/>
          <w:b/>
          <w:noProof/>
          <w:sz w:val="24"/>
          <w:szCs w:val="24"/>
        </w:rPr>
        <w:t>Australia</w:t>
      </w:r>
      <w:r>
        <w:rPr>
          <w:rFonts w:ascii="Times New Roman" w:hAnsi="Times New Roman"/>
          <w:noProof/>
          <w:sz w:val="24"/>
          <w:szCs w:val="24"/>
        </w:rPr>
        <w:t xml:space="preserve">, </w:t>
      </w:r>
      <w:r>
        <w:rPr>
          <w:rFonts w:ascii="Times New Roman" w:hAnsi="Times New Roman"/>
          <w:b/>
          <w:noProof/>
          <w:sz w:val="24"/>
          <w:szCs w:val="24"/>
        </w:rPr>
        <w:t>Nueva Zelanda</w:t>
      </w:r>
      <w:r>
        <w:rPr>
          <w:rFonts w:ascii="Times New Roman" w:hAnsi="Times New Roman"/>
          <w:noProof/>
          <w:sz w:val="24"/>
          <w:szCs w:val="24"/>
        </w:rPr>
        <w:t xml:space="preserve"> y </w:t>
      </w:r>
      <w:r>
        <w:rPr>
          <w:rFonts w:ascii="Times New Roman" w:hAnsi="Times New Roman"/>
          <w:b/>
          <w:noProof/>
          <w:sz w:val="24"/>
          <w:szCs w:val="24"/>
        </w:rPr>
        <w:t>Chile</w:t>
      </w:r>
      <w:r>
        <w:rPr>
          <w:rFonts w:ascii="Times New Roman" w:hAnsi="Times New Roman"/>
          <w:noProof/>
          <w:sz w:val="24"/>
          <w:szCs w:val="24"/>
        </w:rPr>
        <w:t>).</w:t>
      </w:r>
    </w:p>
    <w:p w14:paraId="12637A89" w14:textId="77777777" w:rsidR="00450244" w:rsidRDefault="00EB0B0F">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Es igualmente importante buscar una estrecha cooperación con los países de la </w:t>
      </w:r>
      <w:r>
        <w:rPr>
          <w:rFonts w:ascii="Times New Roman" w:hAnsi="Times New Roman"/>
          <w:b/>
          <w:noProof/>
          <w:sz w:val="24"/>
          <w:szCs w:val="24"/>
        </w:rPr>
        <w:t>vecindad europea</w:t>
      </w:r>
      <w:r>
        <w:rPr>
          <w:rFonts w:ascii="Times New Roman" w:hAnsi="Times New Roman"/>
          <w:noProof/>
          <w:sz w:val="24"/>
          <w:szCs w:val="24"/>
        </w:rPr>
        <w:t xml:space="preserve"> y los </w:t>
      </w:r>
      <w:r>
        <w:rPr>
          <w:rFonts w:ascii="Times New Roman" w:hAnsi="Times New Roman"/>
          <w:b/>
          <w:noProof/>
          <w:sz w:val="24"/>
          <w:szCs w:val="24"/>
        </w:rPr>
        <w:t>Balcanes Occidentale</w:t>
      </w:r>
      <w:r>
        <w:rPr>
          <w:rFonts w:ascii="Times New Roman" w:hAnsi="Times New Roman"/>
          <w:b/>
          <w:noProof/>
          <w:sz w:val="24"/>
          <w:szCs w:val="24"/>
        </w:rPr>
        <w:t>s</w:t>
      </w:r>
      <w:r>
        <w:rPr>
          <w:rFonts w:ascii="Times New Roman" w:hAnsi="Times New Roman"/>
          <w:noProof/>
          <w:sz w:val="24"/>
          <w:szCs w:val="24"/>
        </w:rPr>
        <w:t xml:space="preserve">. Estos últimos revisten especial importancia por su proximidad geográfica y su proceso de adaptación al acervo de la UE en el ámbito de la protección y la seguridad de los consumidores. </w:t>
      </w:r>
    </w:p>
    <w:p w14:paraId="0D608BFA" w14:textId="77777777" w:rsidR="00450244" w:rsidRDefault="00EB0B0F">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Los altos niveles de protección de los consumidores de la UE pueden</w:t>
      </w:r>
      <w:r>
        <w:rPr>
          <w:rFonts w:ascii="Times New Roman" w:hAnsi="Times New Roman"/>
          <w:noProof/>
          <w:sz w:val="24"/>
          <w:szCs w:val="24"/>
        </w:rPr>
        <w:t xml:space="preserve"> servir de ejemplo para otros </w:t>
      </w:r>
      <w:r>
        <w:rPr>
          <w:rFonts w:ascii="Times New Roman" w:hAnsi="Times New Roman"/>
          <w:b/>
          <w:bCs/>
          <w:noProof/>
          <w:sz w:val="24"/>
          <w:szCs w:val="24"/>
        </w:rPr>
        <w:t>países con estructuras menos avanzadas</w:t>
      </w:r>
      <w:r>
        <w:rPr>
          <w:rFonts w:ascii="Times New Roman" w:hAnsi="Times New Roman"/>
          <w:bCs/>
          <w:noProof/>
          <w:sz w:val="24"/>
          <w:szCs w:val="24"/>
        </w:rPr>
        <w:t xml:space="preserve"> para la protección de los consumidores</w:t>
      </w:r>
      <w:r>
        <w:rPr>
          <w:rFonts w:ascii="Times New Roman" w:hAnsi="Times New Roman"/>
          <w:noProof/>
          <w:sz w:val="24"/>
          <w:szCs w:val="24"/>
        </w:rPr>
        <w:t xml:space="preserve"> </w:t>
      </w:r>
      <w:r>
        <w:rPr>
          <w:rFonts w:ascii="Times New Roman" w:hAnsi="Times New Roman"/>
          <w:bCs/>
          <w:noProof/>
          <w:sz w:val="24"/>
          <w:szCs w:val="24"/>
        </w:rPr>
        <w:t xml:space="preserve">y </w:t>
      </w:r>
      <w:r>
        <w:rPr>
          <w:rFonts w:ascii="Times New Roman" w:hAnsi="Times New Roman"/>
          <w:bCs/>
          <w:noProof/>
          <w:sz w:val="24"/>
          <w:szCs w:val="24"/>
        </w:rPr>
        <w:lastRenderedPageBreak/>
        <w:t>deben promoverse en la definición de la agenda internacional.</w:t>
      </w:r>
      <w:r>
        <w:rPr>
          <w:rFonts w:ascii="Times New Roman" w:hAnsi="Times New Roman"/>
          <w:noProof/>
          <w:sz w:val="24"/>
          <w:szCs w:val="24"/>
        </w:rPr>
        <w:t xml:space="preserve"> Por ejemplo, algunos países no pertenecientes a la UE han expresado un gran interés </w:t>
      </w:r>
      <w:r>
        <w:rPr>
          <w:rFonts w:ascii="Times New Roman" w:hAnsi="Times New Roman"/>
          <w:noProof/>
          <w:sz w:val="24"/>
          <w:szCs w:val="24"/>
        </w:rPr>
        <w:t xml:space="preserve">en adoptar un sistema similar al Safety Gate/RAPEX de la UE. A este respecto, la Comisión proporciona apoyo normativo y participa en actividades de desarrollo de capacidades. </w:t>
      </w:r>
    </w:p>
    <w:p w14:paraId="4BE69DC2" w14:textId="77777777" w:rsidR="00450244" w:rsidRDefault="00EB0B0F">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 </w:t>
      </w:r>
      <w:r>
        <w:rPr>
          <w:rFonts w:ascii="Times New Roman" w:hAnsi="Times New Roman"/>
          <w:b/>
          <w:bCs/>
          <w:noProof/>
          <w:sz w:val="24"/>
          <w:szCs w:val="24"/>
        </w:rPr>
        <w:t>cooperación multilateral</w:t>
      </w:r>
      <w:r>
        <w:rPr>
          <w:rFonts w:ascii="Times New Roman" w:hAnsi="Times New Roman"/>
          <w:noProof/>
          <w:sz w:val="24"/>
          <w:szCs w:val="24"/>
        </w:rPr>
        <w:t xml:space="preserve"> en cuestiones de consumo es clave para promover un a</w:t>
      </w:r>
      <w:r>
        <w:rPr>
          <w:rFonts w:ascii="Times New Roman" w:hAnsi="Times New Roman"/>
          <w:noProof/>
          <w:sz w:val="24"/>
          <w:szCs w:val="24"/>
        </w:rPr>
        <w:t>lto nivel de protección y seguridad a escala internacional y para proteger a los consumidores a nivel mundial. En cooperación con los Estados miembros, la Comisión seguirá utilizando su influencia en organizaciones internacionales, tales como la Organizaci</w:t>
      </w:r>
      <w:r>
        <w:rPr>
          <w:rFonts w:ascii="Times New Roman" w:hAnsi="Times New Roman"/>
          <w:noProof/>
          <w:sz w:val="24"/>
          <w:szCs w:val="24"/>
        </w:rPr>
        <w:t>ón Mundial del Comercio (OMC), la Conferencia de las Naciones Unidas sobre Comercio y Desarrollo (UNCTAD) o la Organización de Cooperación y Desarrollo Económicos (OCDE), a fin de lograr estos objetivos.</w:t>
      </w:r>
    </w:p>
    <w:p w14:paraId="693EEE32" w14:textId="77777777" w:rsidR="00450244" w:rsidRDefault="00EB0B0F">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Acción</w:t>
      </w:r>
      <w:r>
        <w:rPr>
          <w:rFonts w:ascii="Times New Roman" w:hAnsi="Times New Roman"/>
          <w:b/>
          <w:noProof/>
          <w:sz w:val="24"/>
          <w:szCs w:val="24"/>
        </w:rPr>
        <w:t xml:space="preserve"> 19:</w:t>
      </w:r>
      <w:r>
        <w:rPr>
          <w:noProof/>
        </w:rPr>
        <w:t xml:space="preserve"> </w:t>
      </w:r>
      <w:r>
        <w:rPr>
          <w:rFonts w:ascii="Times New Roman" w:hAnsi="Times New Roman"/>
          <w:noProof/>
          <w:sz w:val="24"/>
          <w:szCs w:val="24"/>
        </w:rPr>
        <w:t xml:space="preserve">en 2021, la Comisión pretende desarrollar un </w:t>
      </w:r>
      <w:r>
        <w:rPr>
          <w:rFonts w:ascii="Times New Roman" w:hAnsi="Times New Roman"/>
          <w:b/>
          <w:noProof/>
          <w:sz w:val="24"/>
          <w:szCs w:val="24"/>
        </w:rPr>
        <w:t>plan de acción</w:t>
      </w:r>
      <w:r>
        <w:rPr>
          <w:rFonts w:ascii="Times New Roman" w:hAnsi="Times New Roman"/>
          <w:noProof/>
          <w:sz w:val="24"/>
          <w:szCs w:val="24"/>
        </w:rPr>
        <w:t xml:space="preserve"> </w:t>
      </w:r>
      <w:r>
        <w:rPr>
          <w:rFonts w:ascii="Times New Roman" w:hAnsi="Times New Roman"/>
          <w:b/>
          <w:noProof/>
          <w:sz w:val="24"/>
          <w:szCs w:val="24"/>
        </w:rPr>
        <w:t>con China</w:t>
      </w:r>
      <w:r>
        <w:rPr>
          <w:rFonts w:ascii="Times New Roman" w:hAnsi="Times New Roman"/>
          <w:noProof/>
          <w:sz w:val="24"/>
          <w:szCs w:val="24"/>
        </w:rPr>
        <w:t xml:space="preserve"> para fortalecer la cooperación en materia de seguridad de los productos vendidos en línea.</w:t>
      </w:r>
    </w:p>
    <w:p w14:paraId="2E44E263" w14:textId="77777777" w:rsidR="00450244" w:rsidRDefault="00EB0B0F">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Acción</w:t>
      </w:r>
      <w:r>
        <w:rPr>
          <w:rFonts w:ascii="Times New Roman" w:hAnsi="Times New Roman"/>
          <w:b/>
          <w:noProof/>
          <w:sz w:val="24"/>
          <w:szCs w:val="24"/>
        </w:rPr>
        <w:t xml:space="preserve"> </w:t>
      </w:r>
      <w:r>
        <w:rPr>
          <w:rFonts w:ascii="Times New Roman" w:hAnsi="Times New Roman"/>
          <w:b/>
          <w:bCs/>
          <w:noProof/>
          <w:sz w:val="24"/>
          <w:szCs w:val="24"/>
        </w:rPr>
        <w:t xml:space="preserve">20: </w:t>
      </w:r>
      <w:r>
        <w:rPr>
          <w:rFonts w:ascii="Times New Roman" w:hAnsi="Times New Roman"/>
          <w:noProof/>
          <w:sz w:val="24"/>
          <w:szCs w:val="24"/>
        </w:rPr>
        <w:t>A partir de 2021, la Comisión intentará fomentar el apoyo normativo, la asistencia t</w:t>
      </w:r>
      <w:r>
        <w:rPr>
          <w:rFonts w:ascii="Times New Roman" w:hAnsi="Times New Roman"/>
          <w:noProof/>
          <w:sz w:val="24"/>
          <w:szCs w:val="24"/>
        </w:rPr>
        <w:t>écnica y el desarrollo de capacidades para los</w:t>
      </w:r>
      <w:r>
        <w:rPr>
          <w:rFonts w:ascii="Times New Roman" w:hAnsi="Times New Roman"/>
          <w:noProof/>
          <w:sz w:val="24"/>
        </w:rPr>
        <w:t xml:space="preserve"> países</w:t>
      </w:r>
      <w:r>
        <w:rPr>
          <w:rFonts w:ascii="Times New Roman" w:hAnsi="Times New Roman"/>
          <w:noProof/>
          <w:sz w:val="24"/>
          <w:szCs w:val="24"/>
        </w:rPr>
        <w:t xml:space="preserve"> socios de la UE, incluso en </w:t>
      </w:r>
      <w:r>
        <w:rPr>
          <w:rFonts w:ascii="Times New Roman" w:hAnsi="Times New Roman"/>
          <w:b/>
          <w:noProof/>
          <w:sz w:val="24"/>
          <w:szCs w:val="24"/>
        </w:rPr>
        <w:t>África</w:t>
      </w:r>
      <w:r>
        <w:rPr>
          <w:rStyle w:val="Refdenotaalpie"/>
          <w:rFonts w:ascii="Times New Roman" w:hAnsi="Times New Roman" w:cs="Times New Roman"/>
          <w:noProof/>
          <w:sz w:val="24"/>
          <w:szCs w:val="24"/>
          <w:lang w:val="en-GB"/>
        </w:rPr>
        <w:footnoteReference w:id="101"/>
      </w:r>
      <w:r>
        <w:rPr>
          <w:rFonts w:ascii="Times New Roman" w:hAnsi="Times New Roman"/>
          <w:noProof/>
          <w:sz w:val="24"/>
          <w:szCs w:val="24"/>
        </w:rPr>
        <w:t xml:space="preserve">. </w:t>
      </w:r>
    </w:p>
    <w:p w14:paraId="23ADAADC" w14:textId="77777777" w:rsidR="00450244" w:rsidRDefault="00450244">
      <w:pPr>
        <w:pStyle w:val="Prrafodelista"/>
        <w:spacing w:after="0" w:line="240" w:lineRule="auto"/>
        <w:ind w:left="0"/>
        <w:rPr>
          <w:rFonts w:ascii="Times New Roman Bold" w:hAnsi="Times New Roman Bold" w:cs="Times New Roman"/>
          <w:bCs/>
          <w:smallCaps/>
          <w:noProof/>
          <w:sz w:val="26"/>
          <w:szCs w:val="28"/>
          <w:lang w:val="es-ES_tradnl"/>
        </w:rPr>
      </w:pPr>
    </w:p>
    <w:p w14:paraId="58808AEB" w14:textId="77777777" w:rsidR="00450244" w:rsidRDefault="00EB0B0F">
      <w:pPr>
        <w:numPr>
          <w:ilvl w:val="0"/>
          <w:numId w:val="3"/>
        </w:numPr>
        <w:spacing w:after="240" w:line="240" w:lineRule="auto"/>
        <w:contextualSpacing/>
        <w:rPr>
          <w:rFonts w:ascii="Times New Roman Bold" w:hAnsi="Times New Roman Bold" w:cs="Times New Roman"/>
          <w:b/>
          <w:bCs/>
          <w:smallCaps/>
          <w:noProof/>
          <w:sz w:val="28"/>
          <w:szCs w:val="28"/>
        </w:rPr>
      </w:pPr>
      <w:r>
        <w:rPr>
          <w:rFonts w:ascii="Times New Roman Bold" w:hAnsi="Times New Roman Bold"/>
          <w:b/>
          <w:bCs/>
          <w:smallCaps/>
          <w:noProof/>
          <w:sz w:val="28"/>
          <w:szCs w:val="28"/>
        </w:rPr>
        <w:t>Gobernanza</w:t>
      </w:r>
    </w:p>
    <w:p w14:paraId="565E40C5" w14:textId="77777777" w:rsidR="00450244" w:rsidRDefault="00450244">
      <w:pPr>
        <w:spacing w:after="240" w:line="240" w:lineRule="auto"/>
        <w:contextualSpacing/>
        <w:rPr>
          <w:rFonts w:ascii="Times New Roman Bold" w:hAnsi="Times New Roman Bold" w:cs="Times New Roman"/>
          <w:bCs/>
          <w:smallCaps/>
          <w:noProof/>
          <w:sz w:val="26"/>
          <w:szCs w:val="28"/>
          <w:lang w:val="en-GB"/>
        </w:rPr>
      </w:pPr>
    </w:p>
    <w:p w14:paraId="78E7B8E1"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La presente Agenda establece las acciones propuestas por la Comisión para fomentar las prioridades de política de los consumidores que la UE y sus Estados miembros podrían promover en los próximos cinco años o más. Su éxito dependerá de una amplia asociaci</w:t>
      </w:r>
      <w:r>
        <w:rPr>
          <w:rFonts w:ascii="Times New Roman" w:hAnsi="Times New Roman"/>
          <w:noProof/>
          <w:sz w:val="24"/>
          <w:szCs w:val="24"/>
        </w:rPr>
        <w:t xml:space="preserve">ón en la que participen todas las partes interesadas pertinentes. Esta nueva visión de cooperación entre las prioridades políticas nacionales y de la UE conlleva un </w:t>
      </w:r>
      <w:r>
        <w:rPr>
          <w:rFonts w:ascii="Times New Roman" w:hAnsi="Times New Roman"/>
          <w:b/>
          <w:bCs/>
          <w:noProof/>
          <w:sz w:val="24"/>
          <w:szCs w:val="24"/>
        </w:rPr>
        <w:t>nuevo marco para una mayor cooperación</w:t>
      </w:r>
      <w:r>
        <w:rPr>
          <w:rFonts w:ascii="Times New Roman" w:hAnsi="Times New Roman"/>
          <w:noProof/>
          <w:sz w:val="24"/>
          <w:szCs w:val="24"/>
        </w:rPr>
        <w:t xml:space="preserve"> capaz de llevar a cabo acciones concretas. Debe basa</w:t>
      </w:r>
      <w:r>
        <w:rPr>
          <w:rFonts w:ascii="Times New Roman" w:hAnsi="Times New Roman"/>
          <w:noProof/>
          <w:sz w:val="24"/>
          <w:szCs w:val="24"/>
        </w:rPr>
        <w:t xml:space="preserve">rse en las prioridades anuales, debatidas en una </w:t>
      </w:r>
      <w:r>
        <w:rPr>
          <w:rFonts w:ascii="Times New Roman" w:hAnsi="Times New Roman"/>
          <w:b/>
          <w:noProof/>
          <w:sz w:val="24"/>
          <w:szCs w:val="24"/>
        </w:rPr>
        <w:t>Cumbre del Consumidor</w:t>
      </w:r>
      <w:r>
        <w:rPr>
          <w:rFonts w:ascii="Times New Roman" w:hAnsi="Times New Roman"/>
          <w:noProof/>
          <w:sz w:val="24"/>
          <w:szCs w:val="24"/>
        </w:rPr>
        <w:t xml:space="preserve"> anual que reúne a todas las partes interesadas</w:t>
      </w:r>
      <w:r>
        <w:rPr>
          <w:rFonts w:ascii="Times New Roman" w:hAnsi="Times New Roman" w:cs="Times New Roman"/>
          <w:noProof/>
          <w:sz w:val="24"/>
          <w:szCs w:val="24"/>
          <w:vertAlign w:val="superscript"/>
          <w:lang w:val="en-GB"/>
        </w:rPr>
        <w:footnoteReference w:id="102"/>
      </w:r>
      <w:r>
        <w:rPr>
          <w:rFonts w:ascii="Times New Roman" w:hAnsi="Times New Roman"/>
          <w:noProof/>
          <w:sz w:val="24"/>
          <w:szCs w:val="24"/>
        </w:rPr>
        <w:t xml:space="preserve"> en torno al Día Mundial de los Derechos del Consumidor</w:t>
      </w:r>
      <w:r>
        <w:rPr>
          <w:rFonts w:ascii="Times New Roman" w:hAnsi="Times New Roman" w:cs="Times New Roman"/>
          <w:noProof/>
          <w:sz w:val="24"/>
          <w:szCs w:val="24"/>
          <w:vertAlign w:val="superscript"/>
          <w:lang w:val="en-GB"/>
        </w:rPr>
        <w:footnoteReference w:id="103"/>
      </w:r>
      <w:r>
        <w:rPr>
          <w:rFonts w:ascii="Times New Roman" w:hAnsi="Times New Roman"/>
          <w:noProof/>
          <w:sz w:val="24"/>
          <w:szCs w:val="24"/>
        </w:rPr>
        <w:t xml:space="preserve">. La Cumbre debe evaluar los avances logrados durante el año anterior y establecer las prioridades para el próximo año. </w:t>
      </w:r>
    </w:p>
    <w:p w14:paraId="6CAC7E7B"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Cs/>
          <w:noProof/>
          <w:sz w:val="24"/>
          <w:szCs w:val="24"/>
        </w:rPr>
      </w:pPr>
      <w:r>
        <w:rPr>
          <w:rFonts w:ascii="Times New Roman" w:hAnsi="Times New Roman"/>
          <w:noProof/>
          <w:sz w:val="24"/>
          <w:szCs w:val="24"/>
        </w:rPr>
        <w:t xml:space="preserve">La Comisión intentará celebrar debates periódicos con </w:t>
      </w:r>
      <w:r>
        <w:rPr>
          <w:rFonts w:ascii="Times New Roman" w:hAnsi="Times New Roman"/>
          <w:b/>
          <w:noProof/>
          <w:sz w:val="24"/>
          <w:szCs w:val="24"/>
        </w:rPr>
        <w:t xml:space="preserve">el </w:t>
      </w:r>
      <w:r>
        <w:rPr>
          <w:rFonts w:ascii="Times New Roman" w:hAnsi="Times New Roman"/>
          <w:b/>
          <w:bCs/>
          <w:noProof/>
          <w:sz w:val="24"/>
          <w:szCs w:val="24"/>
        </w:rPr>
        <w:t>Parlamento Europeo</w:t>
      </w:r>
      <w:r>
        <w:rPr>
          <w:rFonts w:ascii="Times New Roman" w:hAnsi="Times New Roman"/>
          <w:b/>
          <w:noProof/>
          <w:sz w:val="24"/>
          <w:szCs w:val="24"/>
        </w:rPr>
        <w:t>, el Comité Económico y Social Europeo</w:t>
      </w:r>
      <w:r>
        <w:rPr>
          <w:rFonts w:ascii="Times New Roman" w:hAnsi="Times New Roman"/>
          <w:noProof/>
          <w:sz w:val="24"/>
          <w:szCs w:val="24"/>
        </w:rPr>
        <w:t xml:space="preserve"> y </w:t>
      </w:r>
      <w:r>
        <w:rPr>
          <w:rFonts w:ascii="Times New Roman" w:hAnsi="Times New Roman"/>
          <w:b/>
          <w:noProof/>
          <w:sz w:val="24"/>
          <w:szCs w:val="24"/>
        </w:rPr>
        <w:t>el Comité de las Re</w:t>
      </w:r>
      <w:r>
        <w:rPr>
          <w:rFonts w:ascii="Times New Roman" w:hAnsi="Times New Roman"/>
          <w:b/>
          <w:noProof/>
          <w:sz w:val="24"/>
          <w:szCs w:val="24"/>
        </w:rPr>
        <w:t>giones</w:t>
      </w:r>
      <w:r>
        <w:rPr>
          <w:rFonts w:ascii="Times New Roman" w:hAnsi="Times New Roman"/>
          <w:noProof/>
          <w:sz w:val="24"/>
          <w:szCs w:val="24"/>
        </w:rPr>
        <w:t>. Asimismo, trabajará en estrecha colaboración con los Estados miembros en el marco de las redes</w:t>
      </w:r>
      <w:r>
        <w:rPr>
          <w:rFonts w:ascii="Times New Roman" w:hAnsi="Times New Roman" w:cs="Times New Roman"/>
          <w:noProof/>
          <w:sz w:val="24"/>
          <w:szCs w:val="24"/>
          <w:vertAlign w:val="superscript"/>
          <w:lang w:val="en-GB"/>
        </w:rPr>
        <w:footnoteReference w:id="104"/>
      </w:r>
      <w:r>
        <w:rPr>
          <w:rFonts w:ascii="Times New Roman" w:hAnsi="Times New Roman"/>
          <w:noProof/>
          <w:sz w:val="24"/>
          <w:szCs w:val="24"/>
        </w:rPr>
        <w:t xml:space="preserve">, los grupos de trabajo o los grupos de trabajo </w:t>
      </w:r>
      <w:r>
        <w:rPr>
          <w:rFonts w:ascii="Times New Roman" w:hAnsi="Times New Roman"/>
          <w:i/>
          <w:noProof/>
          <w:sz w:val="24"/>
          <w:szCs w:val="24"/>
        </w:rPr>
        <w:t>ad hoc</w:t>
      </w:r>
      <w:r>
        <w:rPr>
          <w:rFonts w:ascii="Times New Roman" w:hAnsi="Times New Roman"/>
          <w:noProof/>
          <w:sz w:val="24"/>
          <w:szCs w:val="24"/>
        </w:rPr>
        <w:t xml:space="preserve"> existentes. A este respecto, la Comisión trabajará de cerca con las autoridades nacionales para g</w:t>
      </w:r>
      <w:r>
        <w:rPr>
          <w:rFonts w:ascii="Times New Roman" w:hAnsi="Times New Roman"/>
          <w:noProof/>
          <w:sz w:val="24"/>
          <w:szCs w:val="24"/>
        </w:rPr>
        <w:t xml:space="preserve">arantizar una estrecha coordinación de las acciones y el </w:t>
      </w:r>
      <w:r>
        <w:rPr>
          <w:rFonts w:ascii="Times New Roman" w:hAnsi="Times New Roman"/>
          <w:noProof/>
          <w:sz w:val="24"/>
          <w:szCs w:val="24"/>
        </w:rPr>
        <w:lastRenderedPageBreak/>
        <w:t xml:space="preserve">mejor uso de los fondos disponibles pertinentes a escala nacional y de la UE. El intercambio de los resultados de los proyectos científicos y de investigación, así como el intercambio de datos entre </w:t>
      </w:r>
      <w:r>
        <w:rPr>
          <w:rFonts w:ascii="Times New Roman" w:hAnsi="Times New Roman"/>
          <w:noProof/>
          <w:sz w:val="24"/>
          <w:szCs w:val="24"/>
        </w:rPr>
        <w:t>los Estados miembros y la Comisión podría contribuir a una base empírica sólida de datos pertinentes.</w:t>
      </w:r>
    </w:p>
    <w:p w14:paraId="307D2082"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Esta labor debe ir acompañada de una cooperación estrecha y eficaz con las </w:t>
      </w:r>
      <w:r>
        <w:rPr>
          <w:rFonts w:ascii="Times New Roman" w:hAnsi="Times New Roman"/>
          <w:b/>
          <w:noProof/>
          <w:sz w:val="24"/>
          <w:szCs w:val="24"/>
        </w:rPr>
        <w:t>principales partes interesadas</w:t>
      </w:r>
      <w:r>
        <w:rPr>
          <w:rFonts w:ascii="Times New Roman" w:hAnsi="Times New Roman"/>
          <w:noProof/>
          <w:sz w:val="24"/>
          <w:szCs w:val="24"/>
        </w:rPr>
        <w:t xml:space="preserve">, incluidas </w:t>
      </w:r>
      <w:r>
        <w:rPr>
          <w:rFonts w:ascii="Times New Roman" w:hAnsi="Times New Roman"/>
          <w:b/>
          <w:noProof/>
          <w:sz w:val="24"/>
          <w:szCs w:val="24"/>
        </w:rPr>
        <w:t>las organizaciones de consumidores, l</w:t>
      </w:r>
      <w:r>
        <w:rPr>
          <w:rFonts w:ascii="Times New Roman" w:hAnsi="Times New Roman"/>
          <w:b/>
          <w:noProof/>
          <w:sz w:val="24"/>
          <w:szCs w:val="24"/>
        </w:rPr>
        <w:t>a industria y el sector académico</w:t>
      </w:r>
      <w:r>
        <w:rPr>
          <w:rFonts w:ascii="Times New Roman" w:hAnsi="Times New Roman"/>
          <w:noProof/>
          <w:sz w:val="24"/>
          <w:szCs w:val="24"/>
        </w:rPr>
        <w:t>. Unas organizaciones de consumidores sólidas a escala nacional y de la Unión son socios esenciales para planificar el trabajo en el marco de la presente Agenda, llegar a los consumidores y apoyarlos. La Comisión establecer</w:t>
      </w:r>
      <w:r>
        <w:rPr>
          <w:rFonts w:ascii="Times New Roman" w:hAnsi="Times New Roman"/>
          <w:noProof/>
          <w:sz w:val="24"/>
          <w:szCs w:val="24"/>
        </w:rPr>
        <w:t xml:space="preserve">á un </w:t>
      </w:r>
      <w:r>
        <w:rPr>
          <w:rFonts w:ascii="Times New Roman" w:hAnsi="Times New Roman"/>
          <w:b/>
          <w:noProof/>
          <w:sz w:val="24"/>
          <w:szCs w:val="24"/>
        </w:rPr>
        <w:t>nuevo Grupo consultivo sobre la política de los consumidores</w:t>
      </w:r>
      <w:r>
        <w:rPr>
          <w:rFonts w:ascii="Times New Roman" w:hAnsi="Times New Roman"/>
          <w:noProof/>
          <w:sz w:val="24"/>
          <w:szCs w:val="24"/>
        </w:rPr>
        <w:t xml:space="preserve"> para evaluar los avances y reflexionar sobre las prioridades para el próximo año como aportación a los debates de la Cumbre del Consumidor. Debe reunir a todas las partes interesadas, pero t</w:t>
      </w:r>
      <w:r>
        <w:rPr>
          <w:rFonts w:ascii="Times New Roman" w:hAnsi="Times New Roman"/>
          <w:noProof/>
          <w:sz w:val="24"/>
          <w:szCs w:val="24"/>
        </w:rPr>
        <w:t xml:space="preserve">ambién facilitar los debates específicos, por ejemplo, entre las organizaciones de consumidores y las autoridades públicas. Deben perseguirse diversas formas de </w:t>
      </w:r>
      <w:r>
        <w:rPr>
          <w:rFonts w:ascii="Times New Roman" w:hAnsi="Times New Roman"/>
          <w:b/>
          <w:noProof/>
          <w:sz w:val="24"/>
          <w:szCs w:val="24"/>
        </w:rPr>
        <w:t>cooperación con las empresas</w:t>
      </w:r>
      <w:r>
        <w:rPr>
          <w:rFonts w:ascii="Times New Roman" w:hAnsi="Times New Roman"/>
          <w:noProof/>
          <w:sz w:val="24"/>
          <w:szCs w:val="24"/>
        </w:rPr>
        <w:t>, incluso</w:t>
      </w:r>
      <w:r>
        <w:rPr>
          <w:rFonts w:ascii="Times New Roman" w:hAnsi="Times New Roman"/>
          <w:noProof/>
          <w:sz w:val="24"/>
        </w:rPr>
        <w:t xml:space="preserve"> a través de actividades de formación, el intercambio de b</w:t>
      </w:r>
      <w:r>
        <w:rPr>
          <w:rFonts w:ascii="Times New Roman" w:hAnsi="Times New Roman"/>
          <w:noProof/>
          <w:sz w:val="24"/>
        </w:rPr>
        <w:t xml:space="preserve">uenas prácticas y </w:t>
      </w:r>
      <w:r>
        <w:rPr>
          <w:rFonts w:ascii="Times New Roman" w:hAnsi="Times New Roman"/>
          <w:noProof/>
          <w:sz w:val="24"/>
          <w:szCs w:val="24"/>
        </w:rPr>
        <w:t xml:space="preserve">reuniones con empresas que hayan asumido compromisos voluntarios. </w:t>
      </w:r>
    </w:p>
    <w:p w14:paraId="4B54DD63"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Paralelamente, el actual </w:t>
      </w:r>
      <w:r>
        <w:rPr>
          <w:rFonts w:ascii="Times New Roman" w:hAnsi="Times New Roman"/>
          <w:b/>
          <w:noProof/>
          <w:sz w:val="24"/>
          <w:szCs w:val="24"/>
        </w:rPr>
        <w:t>Cuadro de Indicadores de las Condiciones de los Consumidores</w:t>
      </w:r>
      <w:r>
        <w:rPr>
          <w:rFonts w:ascii="Times New Roman" w:hAnsi="Times New Roman"/>
          <w:noProof/>
          <w:sz w:val="24"/>
          <w:szCs w:val="24"/>
        </w:rPr>
        <w:t xml:space="preserve"> sobre la situación de los consumidores en toda la UE debe </w:t>
      </w:r>
      <w:r>
        <w:rPr>
          <w:rFonts w:ascii="Times New Roman" w:hAnsi="Times New Roman"/>
          <w:b/>
          <w:noProof/>
          <w:sz w:val="24"/>
          <w:szCs w:val="24"/>
        </w:rPr>
        <w:t>desarrollarse aún más</w:t>
      </w:r>
      <w:r>
        <w:rPr>
          <w:rFonts w:ascii="Times New Roman" w:hAnsi="Times New Roman"/>
          <w:noProof/>
          <w:sz w:val="24"/>
          <w:szCs w:val="24"/>
        </w:rPr>
        <w:t xml:space="preserve"> para </w:t>
      </w:r>
      <w:r>
        <w:rPr>
          <w:rFonts w:ascii="Times New Roman" w:hAnsi="Times New Roman"/>
          <w:noProof/>
          <w:sz w:val="24"/>
          <w:szCs w:val="24"/>
        </w:rPr>
        <w:t xml:space="preserve">reflejar mejor la realidad de la protección de los consumidores, la seguridad de los productos y el consumo sostenible a escala nacional y de la UE, sobre la base de un conjunto revisado de indicadores. Debe basarse en un sistema reforzado de recopilación </w:t>
      </w:r>
      <w:r>
        <w:rPr>
          <w:rFonts w:ascii="Times New Roman" w:hAnsi="Times New Roman"/>
          <w:noProof/>
          <w:sz w:val="24"/>
          <w:szCs w:val="24"/>
        </w:rPr>
        <w:t>de datos que abarque la situación en todos los mercados y países, las opiniones y el comportamiento de los consumidores, así como las capacidades y medidas de aplicación de los Estados miembros. Sobre la base de los datos recopilados a través del cuadro de</w:t>
      </w:r>
      <w:r>
        <w:rPr>
          <w:rFonts w:ascii="Times New Roman" w:hAnsi="Times New Roman"/>
          <w:noProof/>
          <w:sz w:val="24"/>
          <w:szCs w:val="24"/>
        </w:rPr>
        <w:t xml:space="preserve"> indicadores y la estrecha colaboración con todas las partes interesadas, las medidas y acciones nacionales y de la UE podrían diseñarse, adaptarse y priorizarse para lograr el máximo impacto en beneficio de los consumidores en toda la UE.</w:t>
      </w:r>
    </w:p>
    <w:p w14:paraId="11BE07B8" w14:textId="77777777" w:rsidR="00450244" w:rsidRDefault="00EB0B0F">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smallCaps/>
          <w:noProof/>
          <w:sz w:val="24"/>
          <w:szCs w:val="24"/>
        </w:rPr>
      </w:pPr>
      <w:r>
        <w:rPr>
          <w:rFonts w:ascii="Times New Roman" w:hAnsi="Times New Roman"/>
          <w:b/>
          <w:bCs/>
          <w:noProof/>
          <w:sz w:val="24"/>
          <w:szCs w:val="24"/>
        </w:rPr>
        <w:t xml:space="preserve">Acción 21: </w:t>
      </w:r>
      <w:r>
        <w:rPr>
          <w:rFonts w:ascii="Times New Roman" w:hAnsi="Times New Roman"/>
          <w:noProof/>
          <w:sz w:val="24"/>
          <w:szCs w:val="24"/>
        </w:rPr>
        <w:t>La Co</w:t>
      </w:r>
      <w:r>
        <w:rPr>
          <w:rFonts w:ascii="Times New Roman" w:hAnsi="Times New Roman"/>
          <w:noProof/>
          <w:sz w:val="24"/>
          <w:szCs w:val="24"/>
        </w:rPr>
        <w:t xml:space="preserve">misión pretende crear un </w:t>
      </w:r>
      <w:r>
        <w:rPr>
          <w:rFonts w:ascii="Times New Roman" w:hAnsi="Times New Roman"/>
          <w:b/>
          <w:noProof/>
          <w:sz w:val="24"/>
          <w:szCs w:val="24"/>
        </w:rPr>
        <w:t>Grupo consultivo sobre la política de los consumidores</w:t>
      </w:r>
      <w:r>
        <w:rPr>
          <w:rFonts w:ascii="Times New Roman" w:hAnsi="Times New Roman"/>
          <w:noProof/>
          <w:sz w:val="24"/>
          <w:szCs w:val="24"/>
        </w:rPr>
        <w:t xml:space="preserve"> que reúna a representantes de las organizaciones de consumidores, la sociedad civil y la industria</w:t>
      </w:r>
      <w:r>
        <w:rPr>
          <w:rFonts w:ascii="Times New Roman" w:hAnsi="Times New Roman"/>
          <w:b/>
          <w:noProof/>
          <w:sz w:val="24"/>
          <w:szCs w:val="24"/>
        </w:rPr>
        <w:t xml:space="preserve"> </w:t>
      </w:r>
      <w:r>
        <w:rPr>
          <w:rFonts w:ascii="Times New Roman" w:hAnsi="Times New Roman"/>
          <w:noProof/>
          <w:sz w:val="24"/>
          <w:szCs w:val="24"/>
        </w:rPr>
        <w:t>en apoyo de la Agenda del Consumidor</w:t>
      </w:r>
      <w:r>
        <w:rPr>
          <w:rFonts w:ascii="Times New Roman" w:hAnsi="Times New Roman" w:cs="Times New Roman"/>
          <w:noProof/>
          <w:sz w:val="24"/>
          <w:szCs w:val="24"/>
          <w:vertAlign w:val="superscript"/>
          <w:lang w:val="en-GB"/>
        </w:rPr>
        <w:footnoteReference w:id="105"/>
      </w:r>
      <w:r>
        <w:rPr>
          <w:rFonts w:ascii="Times New Roman" w:hAnsi="Times New Roman"/>
          <w:noProof/>
          <w:sz w:val="24"/>
          <w:szCs w:val="24"/>
        </w:rPr>
        <w:t>.</w:t>
      </w:r>
    </w:p>
    <w:p w14:paraId="423ACEC6" w14:textId="77777777" w:rsidR="00450244" w:rsidRDefault="00EB0B0F">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smallCaps/>
          <w:noProof/>
          <w:sz w:val="24"/>
          <w:szCs w:val="24"/>
        </w:rPr>
      </w:pPr>
      <w:r>
        <w:rPr>
          <w:rFonts w:ascii="Times New Roman" w:hAnsi="Times New Roman"/>
          <w:b/>
          <w:bCs/>
          <w:noProof/>
          <w:sz w:val="24"/>
          <w:szCs w:val="24"/>
        </w:rPr>
        <w:t xml:space="preserve">Acción 22: </w:t>
      </w:r>
      <w:r>
        <w:rPr>
          <w:rFonts w:ascii="Times New Roman" w:hAnsi="Times New Roman"/>
          <w:bCs/>
          <w:noProof/>
          <w:sz w:val="24"/>
          <w:szCs w:val="24"/>
        </w:rPr>
        <w:t xml:space="preserve">la Comisión prevé renovar el </w:t>
      </w:r>
      <w:r>
        <w:rPr>
          <w:rFonts w:ascii="Times New Roman" w:hAnsi="Times New Roman"/>
          <w:b/>
          <w:bCs/>
          <w:noProof/>
          <w:sz w:val="24"/>
          <w:szCs w:val="24"/>
        </w:rPr>
        <w:t>Cuadro de Indicadores de las Condiciones de los Consumidores</w:t>
      </w:r>
      <w:r>
        <w:rPr>
          <w:rFonts w:ascii="Times New Roman" w:hAnsi="Times New Roman"/>
          <w:bCs/>
          <w:noProof/>
          <w:sz w:val="24"/>
          <w:szCs w:val="24"/>
        </w:rPr>
        <w:t xml:space="preserve"> en 2021 para mejorar su función de seguimiento y evaluación comparativa, así como su pertinencia para reforzar la cooperación en materia de aplicación en la UE.</w:t>
      </w:r>
    </w:p>
    <w:p w14:paraId="651B4CDB" w14:textId="77777777" w:rsidR="00450244" w:rsidRDefault="004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Times New Roman" w:eastAsia="Calibri" w:hAnsi="Times New Roman" w:cs="Times New Roman"/>
          <w:noProof/>
          <w:sz w:val="24"/>
          <w:szCs w:val="24"/>
          <w:lang w:val="es-ES_tradnl"/>
        </w:rPr>
      </w:pPr>
    </w:p>
    <w:p w14:paraId="63605FF9" w14:textId="77777777" w:rsidR="00450244" w:rsidRDefault="00EB0B0F">
      <w:pPr>
        <w:numPr>
          <w:ilvl w:val="0"/>
          <w:numId w:val="3"/>
        </w:numPr>
        <w:spacing w:after="240" w:line="240" w:lineRule="auto"/>
        <w:contextualSpacing/>
        <w:rPr>
          <w:rFonts w:ascii="Times New Roman Bold" w:hAnsi="Times New Roman Bold" w:cs="Times New Roman"/>
          <w:b/>
          <w:smallCaps/>
          <w:noProof/>
          <w:sz w:val="28"/>
          <w:szCs w:val="28"/>
        </w:rPr>
      </w:pPr>
      <w:r>
        <w:rPr>
          <w:rFonts w:ascii="Times New Roman Bold" w:hAnsi="Times New Roman Bold"/>
          <w:b/>
          <w:smallCaps/>
          <w:noProof/>
          <w:sz w:val="28"/>
          <w:szCs w:val="28"/>
        </w:rPr>
        <w:t xml:space="preserve">Conclusión </w:t>
      </w:r>
    </w:p>
    <w:p w14:paraId="034EBB50" w14:textId="77777777" w:rsidR="00450244" w:rsidRDefault="004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24"/>
          <w:szCs w:val="24"/>
          <w:lang w:val="en-GB"/>
        </w:rPr>
      </w:pPr>
    </w:p>
    <w:p w14:paraId="7E749618"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 UE cuenta con un marco sólido de protección de los consumidores desarrollado durante muchos años y mejorado recientemente mediante varias iniciativas legislativas de las que los </w:t>
      </w:r>
      <w:r>
        <w:rPr>
          <w:rFonts w:ascii="Times New Roman" w:hAnsi="Times New Roman"/>
          <w:noProof/>
          <w:sz w:val="24"/>
          <w:szCs w:val="24"/>
        </w:rPr>
        <w:lastRenderedPageBreak/>
        <w:t>consumidores de la UE se beneficiarán en los próximos años. Es</w:t>
      </w:r>
      <w:r>
        <w:rPr>
          <w:rFonts w:ascii="Times New Roman" w:hAnsi="Times New Roman"/>
          <w:noProof/>
          <w:sz w:val="24"/>
          <w:szCs w:val="24"/>
        </w:rPr>
        <w:t>ta Nueva Agenda del Consumidor describe cómo podrían consolidarse estos logros a través de una serie de acciones para abordar los desafíos, muchos de los cuales se han puesto de relieve en el contexto de la pandemia actual, y para reforzar el marco general</w:t>
      </w:r>
      <w:r>
        <w:rPr>
          <w:rFonts w:ascii="Times New Roman" w:hAnsi="Times New Roman"/>
          <w:noProof/>
          <w:sz w:val="24"/>
          <w:szCs w:val="24"/>
        </w:rPr>
        <w:t xml:space="preserve"> de colaboración entre las instituciones de la UE, los Estados miembros y las partes interesadas. Esto contribuirá como factor clave para la recuperación y la resiliencia sostenibles de la economía y los consumidores de la UE.</w:t>
      </w:r>
    </w:p>
    <w:p w14:paraId="59AF131A" w14:textId="77777777" w:rsidR="00450244" w:rsidRDefault="00EB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La Comisión espera con interé</w:t>
      </w:r>
      <w:r>
        <w:rPr>
          <w:rFonts w:ascii="Times New Roman" w:hAnsi="Times New Roman"/>
          <w:noProof/>
          <w:sz w:val="24"/>
          <w:szCs w:val="24"/>
        </w:rPr>
        <w:t xml:space="preserve">s entablar un amplio diálogo con todas las partes interesadas sobre las prioridades y acciones, así como los métodos de cooperación para promover la protección del consumidor en los próximos años, tal como se establece en la presente Agenda. </w:t>
      </w:r>
    </w:p>
    <w:sectPr w:rsidR="00450244">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7C94" w14:textId="77777777" w:rsidR="00EB0B0F" w:rsidRDefault="00EB0B0F">
      <w:pPr>
        <w:spacing w:after="0" w:line="240" w:lineRule="auto"/>
      </w:pPr>
      <w:r>
        <w:separator/>
      </w:r>
    </w:p>
  </w:endnote>
  <w:endnote w:type="continuationSeparator" w:id="0">
    <w:p w14:paraId="35DD9EF4" w14:textId="77777777" w:rsidR="00EB0B0F" w:rsidRDefault="00EB0B0F">
      <w:pPr>
        <w:spacing w:after="0" w:line="240" w:lineRule="auto"/>
      </w:pPr>
      <w:r>
        <w:continuationSeparator/>
      </w:r>
    </w:p>
  </w:endnote>
  <w:endnote w:type="continuationNotice" w:id="1">
    <w:p w14:paraId="19A730B1" w14:textId="77777777" w:rsidR="00EB0B0F" w:rsidRDefault="00EB0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Times New Roman Bol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5360" w14:textId="77777777" w:rsidR="00450244" w:rsidRDefault="004502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13E1" w14:textId="77777777" w:rsidR="00450244" w:rsidRDefault="00EB0B0F">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proofErr w:type="spellStart"/>
    <w:r>
      <w:rPr>
        <w:rFonts w:ascii="Arial" w:hAnsi="Arial" w:cs="Arial"/>
        <w:b/>
        <w:sz w:val="48"/>
      </w:rPr>
      <w:t>ES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E7CC" w14:textId="77777777" w:rsidR="00450244" w:rsidRDefault="0045024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C693" w14:textId="77777777" w:rsidR="00450244" w:rsidRDefault="0045024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488483"/>
      <w:docPartObj>
        <w:docPartGallery w:val="Page Numbers (Bottom of Page)"/>
        <w:docPartUnique/>
      </w:docPartObj>
    </w:sdtPr>
    <w:sdtEndPr>
      <w:rPr>
        <w:noProof/>
      </w:rPr>
    </w:sdtEndPr>
    <w:sdtContent>
      <w:p w14:paraId="3114E485" w14:textId="77777777" w:rsidR="00450244" w:rsidRDefault="00EB0B0F">
        <w:pPr>
          <w:pStyle w:val="Piedepgina"/>
          <w:jc w:val="right"/>
        </w:pPr>
        <w:r>
          <w:fldChar w:fldCharType="begin"/>
        </w:r>
        <w:r>
          <w:instrText xml:space="preserve"> PAGE </w:instrText>
        </w:r>
        <w:r>
          <w:instrText xml:space="preserv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9887" w14:textId="77777777" w:rsidR="00450244" w:rsidRDefault="004502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3C83" w14:textId="77777777" w:rsidR="00EB0B0F" w:rsidRDefault="00EB0B0F">
      <w:pPr>
        <w:spacing w:after="0" w:line="240" w:lineRule="auto"/>
      </w:pPr>
      <w:r>
        <w:separator/>
      </w:r>
    </w:p>
  </w:footnote>
  <w:footnote w:type="continuationSeparator" w:id="0">
    <w:p w14:paraId="653777FC" w14:textId="77777777" w:rsidR="00EB0B0F" w:rsidRDefault="00EB0B0F">
      <w:pPr>
        <w:spacing w:after="0" w:line="240" w:lineRule="auto"/>
      </w:pPr>
      <w:r>
        <w:continuationSeparator/>
      </w:r>
    </w:p>
  </w:footnote>
  <w:footnote w:type="continuationNotice" w:id="1">
    <w:p w14:paraId="36CF01A2" w14:textId="77777777" w:rsidR="00EB0B0F" w:rsidRDefault="00EB0B0F">
      <w:pPr>
        <w:spacing w:after="0" w:line="240" w:lineRule="auto"/>
      </w:pPr>
    </w:p>
  </w:footnote>
  <w:footnote w:id="2">
    <w:p w14:paraId="5360A3D9"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hyperlink r:id="rId1" w:history="1">
        <w:r>
          <w:rPr>
            <w:rFonts w:ascii="Times New Roman" w:hAnsi="Times New Roman"/>
          </w:rPr>
          <w:t>https://ec.europa.eu/info/law/law-topic/consumers/review-eu-consumer-law-new-deal-consumers_es</w:t>
        </w:r>
      </w:hyperlink>
      <w:r>
        <w:rPr>
          <w:rFonts w:ascii="Times New Roman" w:hAnsi="Times New Roman"/>
        </w:rPr>
        <w:t xml:space="preserve">.  </w:t>
      </w:r>
    </w:p>
  </w:footnote>
  <w:footnote w:id="3">
    <w:p w14:paraId="3D7AAA94"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proofErr w:type="spellStart"/>
      <w:r>
        <w:rPr>
          <w:rFonts w:ascii="Times New Roman" w:hAnsi="Times New Roman"/>
        </w:rPr>
        <w:t>Eurostat</w:t>
      </w:r>
      <w:proofErr w:type="spellEnd"/>
      <w:r>
        <w:rPr>
          <w:rFonts w:ascii="Times New Roman" w:hAnsi="Times New Roman"/>
        </w:rPr>
        <w:t xml:space="preserve">: </w:t>
      </w:r>
      <w:hyperlink r:id="rId2" w:history="1">
        <w:r>
          <w:rPr>
            <w:rFonts w:ascii="Times New Roman" w:hAnsi="Times New Roman"/>
          </w:rPr>
          <w:t>https://ec.europa.eu/eurostat/statis</w:t>
        </w:r>
        <w:r>
          <w:rPr>
            <w:rFonts w:ascii="Times New Roman" w:hAnsi="Times New Roman"/>
          </w:rPr>
          <w:t>tics-explained/index.php/Household_consumption_by_purpose</w:t>
        </w:r>
      </w:hyperlink>
      <w:r>
        <w:rPr>
          <w:rFonts w:ascii="Times New Roman" w:hAnsi="Times New Roman"/>
        </w:rPr>
        <w:t xml:space="preserve">.   </w:t>
      </w:r>
    </w:p>
  </w:footnote>
  <w:footnote w:id="4">
    <w:p w14:paraId="25EEB514"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Una estrategia de la UE para las pymes en pro de una Europa sostenible y digital [COM(2020) 103 final]. </w:t>
      </w:r>
    </w:p>
  </w:footnote>
  <w:footnote w:id="5">
    <w:p w14:paraId="51A5746A"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Artículo 12 del Tratado de Funcionamiento de la Unión Europea.</w:t>
      </w:r>
    </w:p>
  </w:footnote>
  <w:footnote w:id="6">
    <w:p w14:paraId="536FF088"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3" w:history="1">
        <w:r>
          <w:rPr>
            <w:rFonts w:ascii="Times New Roman" w:hAnsi="Times New Roman"/>
          </w:rPr>
          <w:t>https://ec.europa.eu/info/strategy/priorities-2019-2024/european-green-deal_es</w:t>
        </w:r>
      </w:hyperlink>
      <w:r>
        <w:rPr>
          <w:rFonts w:ascii="Times New Roman" w:hAnsi="Times New Roman"/>
        </w:rPr>
        <w:t xml:space="preserve">.  </w:t>
      </w:r>
    </w:p>
  </w:footnote>
  <w:footnote w:id="7">
    <w:p w14:paraId="086B6C13" w14:textId="77777777" w:rsidR="00450244" w:rsidRDefault="00EB0B0F">
      <w:pPr>
        <w:pStyle w:val="Textonotapie"/>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vertAlign w:val="superscript"/>
          <w:lang w:val="en-US"/>
        </w:rPr>
        <w:t xml:space="preserve"> </w:t>
      </w:r>
      <w:r>
        <w:rPr>
          <w:rFonts w:ascii="Times New Roman" w:hAnsi="Times New Roman"/>
          <w:lang w:val="en-US"/>
        </w:rPr>
        <w:t>COM(2020) 98 final.</w:t>
      </w:r>
    </w:p>
  </w:footnote>
  <w:footnote w:id="8">
    <w:p w14:paraId="1C1DC023" w14:textId="77777777" w:rsidR="00450244" w:rsidRDefault="00EB0B0F">
      <w:pPr>
        <w:pStyle w:val="Textonotapie"/>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lang w:val="en-US"/>
        </w:rPr>
        <w:t xml:space="preserve"> </w:t>
      </w:r>
      <w:hyperlink r:id="rId4" w:history="1">
        <w:r>
          <w:rPr>
            <w:rFonts w:ascii="Times New Roman" w:hAnsi="Times New Roman"/>
            <w:lang w:val="en-US"/>
          </w:rPr>
          <w:t>https://ec.europa.eu/info/publications/communication-shaping-europes-digital-future_es</w:t>
        </w:r>
      </w:hyperlink>
      <w:r>
        <w:rPr>
          <w:rFonts w:ascii="Times New Roman" w:hAnsi="Times New Roman"/>
          <w:lang w:val="en-US"/>
        </w:rPr>
        <w:t xml:space="preserve">.  </w:t>
      </w:r>
    </w:p>
  </w:footnote>
  <w:footnote w:id="9">
    <w:p w14:paraId="3C60D123"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La Agenda enumera las acciones de una manera selectiva y no exhaustiva a fin de destacar las principales líneas de trabajo y evitar sola</w:t>
      </w:r>
      <w:r>
        <w:rPr>
          <w:rFonts w:ascii="Times New Roman" w:hAnsi="Times New Roman"/>
        </w:rPr>
        <w:t>pamientos con otras estrategias y planes de acción ya acordados.</w:t>
      </w:r>
    </w:p>
  </w:footnote>
  <w:footnote w:id="10">
    <w:p w14:paraId="6943FE0F" w14:textId="77777777" w:rsidR="00450244" w:rsidRDefault="00EB0B0F">
      <w:pPr>
        <w:pStyle w:val="Textonotapie"/>
        <w:jc w:val="both"/>
        <w:rPr>
          <w:rFonts w:ascii="Times New Roman" w:hAnsi="Times New Roman" w:cs="Times New Roman"/>
          <w:lang w:val="fr-BE"/>
        </w:rPr>
      </w:pPr>
      <w:r>
        <w:rPr>
          <w:rFonts w:ascii="Times New Roman" w:hAnsi="Times New Roman" w:cs="Times New Roman"/>
          <w:vertAlign w:val="superscript"/>
        </w:rPr>
        <w:footnoteRef/>
      </w:r>
      <w:r>
        <w:rPr>
          <w:rFonts w:ascii="Times New Roman" w:hAnsi="Times New Roman"/>
          <w:lang w:val="fr-BE"/>
        </w:rPr>
        <w:t xml:space="preserve"> </w:t>
      </w:r>
      <w:proofErr w:type="spellStart"/>
      <w:r>
        <w:rPr>
          <w:rFonts w:ascii="Times New Roman" w:hAnsi="Times New Roman"/>
          <w:lang w:val="fr-BE"/>
        </w:rPr>
        <w:t>Véase</w:t>
      </w:r>
      <w:proofErr w:type="spellEnd"/>
      <w:r>
        <w:rPr>
          <w:rFonts w:ascii="Times New Roman" w:hAnsi="Times New Roman"/>
          <w:lang w:val="fr-BE"/>
        </w:rPr>
        <w:t xml:space="preserve"> </w:t>
      </w:r>
      <w:hyperlink r:id="rId5" w:history="1">
        <w:r>
          <w:rPr>
            <w:rFonts w:ascii="Times New Roman" w:hAnsi="Times New Roman"/>
            <w:lang w:val="fr-BE"/>
          </w:rPr>
          <w:t>https://ec.europa.eu/info/law/better-regulation/have-your-say/ini</w:t>
        </w:r>
        <w:r>
          <w:rPr>
            <w:rFonts w:ascii="Times New Roman" w:hAnsi="Times New Roman"/>
            <w:lang w:val="fr-BE"/>
          </w:rPr>
          <w:t>tiatives/12464-A-New-Consumer-Agenda</w:t>
        </w:r>
      </w:hyperlink>
      <w:r>
        <w:rPr>
          <w:rFonts w:ascii="Times New Roman" w:hAnsi="Times New Roman"/>
          <w:lang w:val="fr-BE"/>
        </w:rPr>
        <w:t xml:space="preserve">. </w:t>
      </w:r>
    </w:p>
  </w:footnote>
  <w:footnote w:id="11">
    <w:p w14:paraId="70767730" w14:textId="77777777" w:rsidR="00450244" w:rsidRDefault="00EB0B0F">
      <w:pPr>
        <w:pStyle w:val="Textonotapie"/>
        <w:jc w:val="both"/>
        <w:rPr>
          <w:rFonts w:ascii="Times New Roman" w:hAnsi="Times New Roman" w:cs="Times New Roman"/>
          <w:lang w:val="es-ES_tradnl"/>
        </w:rPr>
      </w:pPr>
      <w:r>
        <w:rPr>
          <w:rFonts w:ascii="Times New Roman" w:hAnsi="Times New Roman" w:cs="Times New Roman"/>
          <w:vertAlign w:val="superscript"/>
        </w:rPr>
        <w:footnoteRef/>
      </w:r>
      <w:r>
        <w:rPr>
          <w:rFonts w:ascii="Times New Roman" w:hAnsi="Times New Roman"/>
        </w:rPr>
        <w:t xml:space="preserve"> Comunicación de la Comisión al Parlamento Europeo, al Consejo Europeo y al Banco Europeo de Inversiones «Estrategia de la UE para las vacunas contra la COVID-19» [</w:t>
      </w:r>
      <w:r>
        <w:rPr>
          <w:rFonts w:ascii="Times New Roman" w:hAnsi="Times New Roman"/>
          <w:lang w:val="es-ES_tradnl"/>
        </w:rPr>
        <w:t xml:space="preserve">COM(2020) 245 final].  </w:t>
      </w:r>
    </w:p>
  </w:footnote>
  <w:footnote w:id="12">
    <w:p w14:paraId="0BC7624E" w14:textId="77777777" w:rsidR="00450244" w:rsidRPr="00520C18" w:rsidRDefault="00EB0B0F">
      <w:pPr>
        <w:pStyle w:val="Textonotapie"/>
        <w:jc w:val="both"/>
        <w:rPr>
          <w:rFonts w:ascii="Times New Roman" w:hAnsi="Times New Roman" w:cs="Times New Roman"/>
          <w:lang w:val="es-ES_tradnl"/>
        </w:rPr>
      </w:pPr>
      <w:r>
        <w:rPr>
          <w:rFonts w:ascii="Times New Roman" w:hAnsi="Times New Roman" w:cs="Times New Roman"/>
          <w:vertAlign w:val="superscript"/>
        </w:rPr>
        <w:footnoteRef/>
      </w:r>
      <w:r w:rsidRPr="00520C18">
        <w:rPr>
          <w:rFonts w:ascii="Times New Roman" w:hAnsi="Times New Roman"/>
          <w:lang w:val="es-ES_tradnl"/>
        </w:rPr>
        <w:t xml:space="preserve"> https://ec.europa.eu/info/live-work-travel-eu/health/coronavirus-response/public-health_es.</w:t>
      </w:r>
    </w:p>
  </w:footnote>
  <w:footnote w:id="13">
    <w:p w14:paraId="7B12F32B"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Comunicación de la Comisión sobre medidas adicionales de respuesta a la COVID-19, de 28 de octubre de 2020 [COM(2020) 687 final] y Recomendación de la Comisión, </w:t>
      </w:r>
      <w:r>
        <w:rPr>
          <w:rFonts w:ascii="Times New Roman" w:hAnsi="Times New Roman"/>
        </w:rPr>
        <w:t>de 28 de octubre de 2020, sobre las estrategias para las pruebas de diagnóstico de la COVID-19, incluido el uso de pruebas rápidas de antígeno [C(2020) 7502 final].</w:t>
      </w:r>
    </w:p>
  </w:footnote>
  <w:footnote w:id="14">
    <w:p w14:paraId="2107B89A"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Una encuesta IPSOS realizada para la Comisión mostró que, además de un notable aumento de</w:t>
      </w:r>
      <w:r>
        <w:rPr>
          <w:rFonts w:ascii="Times New Roman" w:hAnsi="Times New Roman"/>
        </w:rPr>
        <w:t xml:space="preserve"> las compras en línea en la primera mitad de 2020, muchos consumidores esperan asistir a menos eventos deportivos o culturales durante el próximo año (entre el 40 % y el 60 %) y realizar menos recorridos en transporte público (entre el 24 % y el 43 %).</w:t>
      </w:r>
    </w:p>
  </w:footnote>
  <w:footnote w:id="15">
    <w:p w14:paraId="4041A8B6"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R</w:t>
      </w:r>
      <w:r>
        <w:rPr>
          <w:rFonts w:ascii="Times New Roman" w:hAnsi="Times New Roman"/>
        </w:rPr>
        <w:t>ecomendación (UE) 2020/648 de la Comisión, de 13 de mayo de 2020, relativa a los bonos ofrecidos a los pasajeros y a los viajeros como alternativa al reembolso de viajes combinados y servicios de transporte cancelados en el contexto de la pandemia de COVID</w:t>
      </w:r>
      <w:r>
        <w:rPr>
          <w:rFonts w:ascii="Times New Roman" w:hAnsi="Times New Roman"/>
        </w:rPr>
        <w:t xml:space="preserve">-19 (DO L 151 de 14.5.2020). </w:t>
      </w:r>
    </w:p>
  </w:footnote>
  <w:footnote w:id="16">
    <w:p w14:paraId="31F233DF"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Reglamentos sobre los derechos de los pasajeros (CE) n.º 261/2004, (CE) n.º 1371/2007, (UE) n.º 1177/2010 y (UE) n.º 181/2011, y Directiva (UE) 2015/2302 relativa a los viajes combinados.</w:t>
      </w:r>
    </w:p>
  </w:footnote>
  <w:footnote w:id="17">
    <w:p w14:paraId="33BCBF1D"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6" w:history="1">
        <w:r>
          <w:rPr>
            <w:rFonts w:ascii="Times New Roman" w:hAnsi="Times New Roman"/>
          </w:rPr>
          <w:t>https://ec.europa.eu/info/live-work-travel-eu/consumers/enforcement-consumer-protection/scams-related-covid-19_es</w:t>
        </w:r>
      </w:hyperlink>
      <w:r>
        <w:rPr>
          <w:rFonts w:ascii="Times New Roman" w:hAnsi="Times New Roman"/>
        </w:rPr>
        <w:t xml:space="preserve">. </w:t>
      </w:r>
    </w:p>
  </w:footnote>
  <w:footnote w:id="18">
    <w:p w14:paraId="6AFC91DA"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Como resultado, las plataformas informaron</w:t>
      </w:r>
      <w:r>
        <w:rPr>
          <w:rFonts w:ascii="Times New Roman" w:hAnsi="Times New Roman"/>
        </w:rPr>
        <w:t xml:space="preserve"> de una fuerte disminución de al menos el 80 % de la comercialización engañosa de mascarillas u otros equipos de protección durante el verano en comparación con el promedio de marzo.</w:t>
      </w:r>
    </w:p>
  </w:footnote>
  <w:footnote w:id="19">
    <w:p w14:paraId="76743B9F" w14:textId="77777777" w:rsidR="00450244" w:rsidRDefault="00EB0B0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rPr>
        <w:t xml:space="preserve"> En este contexto, véanse las directrices recientemente publicadas por l</w:t>
      </w:r>
      <w:r>
        <w:rPr>
          <w:rFonts w:ascii="Times New Roman" w:hAnsi="Times New Roman"/>
          <w:sz w:val="20"/>
          <w:szCs w:val="20"/>
        </w:rPr>
        <w:t xml:space="preserve">a Comisión </w:t>
      </w:r>
      <w:hyperlink r:id="rId7" w:history="1">
        <w:r>
          <w:rPr>
            <w:rFonts w:ascii="Times New Roman" w:hAnsi="Times New Roman"/>
            <w:sz w:val="20"/>
            <w:szCs w:val="20"/>
          </w:rPr>
          <w:t>https://ec.europa.eu/info/sites/info/files/waste_management_guidance_dg-env.pdf</w:t>
        </w:r>
      </w:hyperlink>
      <w:r>
        <w:rPr>
          <w:rFonts w:ascii="Times New Roman" w:hAnsi="Times New Roman"/>
          <w:sz w:val="20"/>
          <w:szCs w:val="20"/>
        </w:rPr>
        <w:t xml:space="preserve">. </w:t>
      </w:r>
    </w:p>
  </w:footnote>
  <w:footnote w:id="20">
    <w:p w14:paraId="64204476"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La Comunicación de la Comisión al Parlamento Europeo y al Consejo</w:t>
      </w:r>
      <w:r>
        <w:rPr>
          <w:rFonts w:ascii="Times New Roman" w:hAnsi="Times New Roman"/>
        </w:rPr>
        <w:t xml:space="preserve"> sobre prospectiva estratégica de 2020 [COM(2020) 493 final] otorga a la prospectiva un papel fundamental a la hora de elaborar políticas de la UE orientadas al futuro y garantizar que las iniciativas a corto plazo se basen en una perspectiva a más largo p</w:t>
      </w:r>
      <w:r>
        <w:rPr>
          <w:rFonts w:ascii="Times New Roman" w:hAnsi="Times New Roman"/>
        </w:rPr>
        <w:t>lazo. La prospectiva puede ayudar a conformar la inteligencia colectiva y a trazar mejor el camino que debe seguirse en la doble transición ecológica y digital, así como para recuperarse de las perturbaciones. Entre otras actividades de prospectiva, el Cen</w:t>
      </w:r>
      <w:r>
        <w:rPr>
          <w:rFonts w:ascii="Times New Roman" w:hAnsi="Times New Roman"/>
        </w:rPr>
        <w:t xml:space="preserve">tro Común de Investigación de la Comisión vigila catorce </w:t>
      </w:r>
      <w:proofErr w:type="spellStart"/>
      <w:r>
        <w:rPr>
          <w:rFonts w:ascii="Times New Roman" w:hAnsi="Times New Roman"/>
        </w:rPr>
        <w:t>megatendencias</w:t>
      </w:r>
      <w:proofErr w:type="spellEnd"/>
      <w:r>
        <w:rPr>
          <w:rFonts w:ascii="Times New Roman" w:hAnsi="Times New Roman"/>
        </w:rPr>
        <w:t xml:space="preserve"> como parte de su </w:t>
      </w:r>
      <w:hyperlink r:id="rId8" w:history="1">
        <w:proofErr w:type="spellStart"/>
        <w:r>
          <w:rPr>
            <w:rFonts w:ascii="Times New Roman" w:hAnsi="Times New Roman"/>
          </w:rPr>
          <w:t>Megatrends</w:t>
        </w:r>
        <w:proofErr w:type="spellEnd"/>
        <w:r>
          <w:rPr>
            <w:rFonts w:ascii="Times New Roman" w:hAnsi="Times New Roman"/>
          </w:rPr>
          <w:t xml:space="preserve"> </w:t>
        </w:r>
        <w:proofErr w:type="spellStart"/>
        <w:r>
          <w:rPr>
            <w:rFonts w:ascii="Times New Roman" w:hAnsi="Times New Roman"/>
          </w:rPr>
          <w:t>Hub</w:t>
        </w:r>
        <w:proofErr w:type="spellEnd"/>
      </w:hyperlink>
      <w:r>
        <w:rPr>
          <w:rFonts w:ascii="Times New Roman" w:hAnsi="Times New Roman"/>
        </w:rPr>
        <w:t xml:space="preserve">, algunas de las cuales son de suma importancia para las políticas de consumidores.   </w:t>
      </w:r>
      <w:r>
        <w:rPr>
          <w:rFonts w:ascii="Times New Roman" w:hAnsi="Times New Roman"/>
        </w:rPr>
        <w:t xml:space="preserve">  </w:t>
      </w:r>
    </w:p>
  </w:footnote>
  <w:footnote w:id="21">
    <w:p w14:paraId="44EF4CE4"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Teniendo en cuenta las medidas pertinentes propuestas en la Comunicación conjunta al Parlamento Europeo, al Consejo Europeo, al Consejo, al Comité Económico y Social Europeo y al Comité de las Regiones «La lucha contra la desinformación acerca de la C</w:t>
      </w:r>
      <w:r>
        <w:rPr>
          <w:rFonts w:ascii="Times New Roman" w:hAnsi="Times New Roman"/>
        </w:rPr>
        <w:t>OVID-19: contrastando los datos» [JOIN(2020) 8 final]; véase el punto 8.</w:t>
      </w:r>
    </w:p>
  </w:footnote>
  <w:footnote w:id="22">
    <w:p w14:paraId="2B65A17E"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Esto significa que un producto deja de poder utilizarse para la finalidad prevista y se rompe antes de lo esperado.</w:t>
      </w:r>
    </w:p>
  </w:footnote>
  <w:footnote w:id="23">
    <w:p w14:paraId="74F1305E"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Estudio de comportamiento sobre la participación de los consumi</w:t>
      </w:r>
      <w:r>
        <w:rPr>
          <w:rFonts w:ascii="Times New Roman" w:hAnsi="Times New Roman"/>
        </w:rPr>
        <w:t>dores en la economía circular (</w:t>
      </w:r>
      <w:hyperlink r:id="rId9" w:anchor="behaviouralstudyonconsumersengagementinthecirculareconomy" w:history="1">
        <w:r>
          <w:rPr>
            <w:rFonts w:ascii="Times New Roman" w:hAnsi="Times New Roman"/>
          </w:rPr>
          <w:t>https://ec.europa.eu/info/live-work-travel-eu/consumers/sustain</w:t>
        </w:r>
        <w:r>
          <w:rPr>
            <w:rFonts w:ascii="Times New Roman" w:hAnsi="Times New Roman"/>
          </w:rPr>
          <w:t>able-consumption_es#behaviouralstudyonconsumersengagementinthecirculareconomy</w:t>
        </w:r>
      </w:hyperlink>
      <w:r>
        <w:rPr>
          <w:rFonts w:ascii="Times New Roman" w:hAnsi="Times New Roman"/>
        </w:rPr>
        <w:t>).</w:t>
      </w:r>
    </w:p>
  </w:footnote>
  <w:footnote w:id="24">
    <w:p w14:paraId="63D97EEE" w14:textId="77777777" w:rsidR="00450244" w:rsidRDefault="00EB0B0F">
      <w:pPr>
        <w:pStyle w:val="Textonotapie"/>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lang w:val="en-US"/>
        </w:rPr>
        <w:t xml:space="preserve"> </w:t>
      </w:r>
      <w:proofErr w:type="spellStart"/>
      <w:r>
        <w:rPr>
          <w:rFonts w:ascii="Times New Roman" w:hAnsi="Times New Roman"/>
          <w:lang w:val="en-US"/>
        </w:rPr>
        <w:t>Eurobarómetro</w:t>
      </w:r>
      <w:proofErr w:type="spellEnd"/>
      <w:r>
        <w:rPr>
          <w:rFonts w:ascii="Times New Roman" w:hAnsi="Times New Roman"/>
          <w:lang w:val="en-US"/>
        </w:rPr>
        <w:t xml:space="preserve"> especial n.º 501 (</w:t>
      </w:r>
      <w:proofErr w:type="spellStart"/>
      <w:r>
        <w:rPr>
          <w:rFonts w:ascii="Times New Roman" w:hAnsi="Times New Roman"/>
          <w:lang w:val="en-US"/>
        </w:rPr>
        <w:t>marzo</w:t>
      </w:r>
      <w:proofErr w:type="spellEnd"/>
      <w:r>
        <w:rPr>
          <w:rFonts w:ascii="Times New Roman" w:hAnsi="Times New Roman"/>
          <w:lang w:val="en-US"/>
        </w:rPr>
        <w:t xml:space="preserve"> de 2020) «Attitudes of European citizens towards the environment» https://ec.europa.eu/commfrontoffice/publicopinion/index.cfm/survey/getSurveydetail/instruments/special/surveyky/2257.</w:t>
      </w:r>
    </w:p>
  </w:footnote>
  <w:footnote w:id="25">
    <w:p w14:paraId="29E7692C" w14:textId="77777777" w:rsidR="00450244" w:rsidRDefault="00EB0B0F">
      <w:pPr>
        <w:pStyle w:val="Textonotapie"/>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rPr>
        <w:t xml:space="preserve"> Un informe reciente del Centro</w:t>
      </w:r>
      <w:r>
        <w:rPr>
          <w:rFonts w:ascii="Times New Roman" w:hAnsi="Times New Roman"/>
        </w:rPr>
        <w:t xml:space="preserve"> Común de Investigación sobre los indicadores de evaluación del ciclo de vida señala al consumo de alimentos, la vivienda y la movilidad como contribuyentes importantes a las repercusiones ambientales generales de los consumidores de la UE. </w:t>
      </w:r>
      <w:r>
        <w:rPr>
          <w:rFonts w:ascii="Times New Roman" w:hAnsi="Times New Roman"/>
          <w:lang w:val="en-US"/>
        </w:rPr>
        <w:t>Sala, S. et al.</w:t>
      </w:r>
      <w:r>
        <w:rPr>
          <w:rFonts w:ascii="Times New Roman" w:hAnsi="Times New Roman"/>
          <w:lang w:val="en-US"/>
        </w:rPr>
        <w:t xml:space="preserve">: </w:t>
      </w:r>
      <w:r>
        <w:rPr>
          <w:rFonts w:ascii="Times New Roman" w:hAnsi="Times New Roman"/>
          <w:i/>
          <w:lang w:val="en-US"/>
        </w:rPr>
        <w:t>Indicators and Assessment of the environmental impact of EU consumption.</w:t>
      </w:r>
      <w:r>
        <w:rPr>
          <w:rFonts w:ascii="Times New Roman" w:hAnsi="Times New Roman"/>
          <w:lang w:val="en-US"/>
        </w:rPr>
        <w:t xml:space="preserve"> </w:t>
      </w:r>
      <w:r>
        <w:rPr>
          <w:rFonts w:ascii="Times New Roman" w:hAnsi="Times New Roman"/>
          <w:i/>
          <w:lang w:val="en-US"/>
        </w:rPr>
        <w:t>Consumption and Consumer Footprint for assessing and monitoring EU policies with Life Cycle Assessment</w:t>
      </w:r>
      <w:r>
        <w:rPr>
          <w:rFonts w:ascii="Times New Roman" w:hAnsi="Times New Roman"/>
          <w:lang w:val="en-US"/>
        </w:rPr>
        <w:t>, 2019, doi:10.2760/403263, JRC114814.</w:t>
      </w:r>
    </w:p>
  </w:footnote>
  <w:footnote w:id="26">
    <w:p w14:paraId="2DBA885D"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 381 final.</w:t>
      </w:r>
    </w:p>
  </w:footnote>
  <w:footnote w:id="27">
    <w:p w14:paraId="680E2748"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 380 f</w:t>
      </w:r>
      <w:r>
        <w:rPr>
          <w:rFonts w:ascii="Times New Roman" w:hAnsi="Times New Roman"/>
        </w:rPr>
        <w:t>inal.</w:t>
      </w:r>
    </w:p>
  </w:footnote>
  <w:footnote w:id="28">
    <w:p w14:paraId="0205EAA6" w14:textId="77777777" w:rsidR="00450244" w:rsidRDefault="00EB0B0F">
      <w:pPr>
        <w:pStyle w:val="Textonotapie"/>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rPr>
        <w:t xml:space="preserve"> Por ejemplo, una propuesta sobre un marco legislativo para un sistema alimentario sostenible, o una propuesta sobre un marco de etiquetado de alimentos sostenibles que permita a los consumidores optar por ese tipo de alimentos.</w:t>
      </w:r>
    </w:p>
  </w:footnote>
  <w:footnote w:id="29">
    <w:p w14:paraId="38078E97"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Un cambio en la el</w:t>
      </w:r>
      <w:r>
        <w:rPr>
          <w:rFonts w:ascii="Times New Roman" w:hAnsi="Times New Roman"/>
        </w:rPr>
        <w:t>ección de los consumidores que conduzca a dietas más sanas puede contribuir a reducir las emisiones de gases de efecto invernadero, tal como se reconoce en la Comunicación «Intensificar la ambición climática de Europa para 2030» [COM(2020) 562]. Para mejor</w:t>
      </w:r>
      <w:r>
        <w:rPr>
          <w:rFonts w:ascii="Times New Roman" w:hAnsi="Times New Roman"/>
        </w:rPr>
        <w:t>ar el acceso a la información por parte de los consumidores y hacer que la elección de las opciones saludables y sostenibles sea la más fácil, la estrategia «de la granja a la mesa» establece un marco de actuación. Estas medidas van desde el etiquetado obl</w:t>
      </w:r>
      <w:r>
        <w:rPr>
          <w:rFonts w:ascii="Times New Roman" w:hAnsi="Times New Roman"/>
        </w:rPr>
        <w:t>igatorio sobre propiedades nutritivas en la parte frontal de los envases, el etiquetado del bienestar animal, el establecimiento de perfiles nutricionales para restringir la promoción de alimentos con alto contenido en grasas, azúcares o sal hasta examinar</w:t>
      </w:r>
      <w:r>
        <w:rPr>
          <w:rFonts w:ascii="Times New Roman" w:hAnsi="Times New Roman"/>
        </w:rPr>
        <w:t xml:space="preserve"> la ampliación de la indicación de origen obligatoria para determinados alimentos. </w:t>
      </w:r>
    </w:p>
  </w:footnote>
  <w:footnote w:id="30">
    <w:p w14:paraId="14F5F7C0"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https://ec.europa.eu/info/law/better-regulation/have-your-say/initiatives/12588-EU-Action-Plan-Towards-a-Zero-Pollution-Ambition-for-air-water-and-soil.</w:t>
      </w:r>
    </w:p>
  </w:footnote>
  <w:footnote w:id="31">
    <w:p w14:paraId="3B2E3068"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Entre otras cos</w:t>
      </w:r>
      <w:r>
        <w:rPr>
          <w:rFonts w:ascii="Times New Roman" w:hAnsi="Times New Roman"/>
        </w:rPr>
        <w:t>as, podrían considerarse las campañas de sensibilización para animar a los consumidores a recurrir más al agua limpia y segura del grifo, en vez de al agua en botellas de plástico, eliminar de forma segura los productos farmacéuticos no utilizados, contrib</w:t>
      </w:r>
      <w:r>
        <w:rPr>
          <w:rFonts w:ascii="Times New Roman" w:hAnsi="Times New Roman"/>
        </w:rPr>
        <w:t xml:space="preserve">uir a evitar que los </w:t>
      </w:r>
      <w:proofErr w:type="spellStart"/>
      <w:r>
        <w:rPr>
          <w:rFonts w:ascii="Times New Roman" w:hAnsi="Times New Roman"/>
        </w:rPr>
        <w:t>microplásticos</w:t>
      </w:r>
      <w:proofErr w:type="spellEnd"/>
      <w:r>
        <w:rPr>
          <w:rFonts w:ascii="Times New Roman" w:hAnsi="Times New Roman"/>
        </w:rPr>
        <w:t xml:space="preserve"> lleguen a nuestras aguas marinas y dulces, optar por modos de transporte más limpios, así como por sistemas de calefacción y refrigeración más limpios para contribuir al aire puro, tanto en interiores como en exteriores,</w:t>
      </w:r>
      <w:r>
        <w:rPr>
          <w:rFonts w:ascii="Times New Roman" w:hAnsi="Times New Roman"/>
        </w:rPr>
        <w:t xml:space="preserve"> y para que puedan identificar los productos que ayuden a proteger la naturaleza a través de un uso sostenible de los espacios Natura 2000.</w:t>
      </w:r>
    </w:p>
  </w:footnote>
  <w:footnote w:id="32">
    <w:p w14:paraId="7603CD56" w14:textId="77777777" w:rsidR="00450244" w:rsidRDefault="00EB0B0F">
      <w:pPr>
        <w:pStyle w:val="Textonotapie"/>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lang w:val="en-US"/>
        </w:rPr>
        <w:t xml:space="preserve"> COM(2020) 667 final. </w:t>
      </w:r>
    </w:p>
  </w:footnote>
  <w:footnote w:id="33">
    <w:p w14:paraId="0AE947FE" w14:textId="77777777" w:rsidR="00450244" w:rsidRDefault="00EB0B0F">
      <w:pPr>
        <w:pStyle w:val="Textonotapie"/>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lang w:val="en-US"/>
        </w:rPr>
        <w:t xml:space="preserve"> COM(2018) 97 final.</w:t>
      </w:r>
    </w:p>
  </w:footnote>
  <w:footnote w:id="34">
    <w:p w14:paraId="327B968B" w14:textId="77777777" w:rsidR="00450244" w:rsidRDefault="00EB0B0F">
      <w:pPr>
        <w:pStyle w:val="Textonotapie"/>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lang w:val="en-US"/>
        </w:rPr>
        <w:t xml:space="preserve"> COM(2020) 662 final.</w:t>
      </w:r>
    </w:p>
  </w:footnote>
  <w:footnote w:id="35">
    <w:p w14:paraId="4A4B1FF9"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En particular, las iniciativas sobre una polí</w:t>
      </w:r>
      <w:r>
        <w:rPr>
          <w:rFonts w:ascii="Times New Roman" w:hAnsi="Times New Roman"/>
        </w:rPr>
        <w:t>tica de productos sostenibles y sobre la justificación de las alegaciones ecológicas.</w:t>
      </w:r>
    </w:p>
  </w:footnote>
  <w:footnote w:id="36">
    <w:p w14:paraId="3F166641"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La accesibilidad debe entenderse como la eliminación y la prevención de obstáculos que dificulten la participación de las personas con discapacidad en igualdad de condi</w:t>
      </w:r>
      <w:r>
        <w:rPr>
          <w:rFonts w:ascii="Times New Roman" w:hAnsi="Times New Roman"/>
        </w:rPr>
        <w:t>ciones con los demás. También contribuye a la durabilidad y la reutilización y se señala en el Plan de acción para la economía circular de conformidad con la Directiva (UE) 2019/882 del Parlamento Europeo y del Consejo, de 17 de abril de 2019, sobre los re</w:t>
      </w:r>
      <w:r>
        <w:rPr>
          <w:rFonts w:ascii="Times New Roman" w:hAnsi="Times New Roman"/>
        </w:rPr>
        <w:t xml:space="preserve">quisitos de accesibilidad de los productos y servicios (DO L 151 de 7.6.2019, p. 70).  </w:t>
      </w:r>
    </w:p>
  </w:footnote>
  <w:footnote w:id="37">
    <w:p w14:paraId="595D9A70"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w:t>
      </w:r>
      <w:hyperlink r:id="rId10" w:history="1">
        <w:r>
          <w:rPr>
            <w:rStyle w:val="Hipervnculo"/>
            <w:rFonts w:ascii="Times New Roman" w:hAnsi="Times New Roman"/>
          </w:rPr>
          <w:t>https://ec.europa.eu/info/law/better-r</w:t>
        </w:r>
        <w:r>
          <w:rPr>
            <w:rStyle w:val="Hipervnculo"/>
            <w:rFonts w:ascii="Times New Roman" w:hAnsi="Times New Roman"/>
          </w:rPr>
          <w:t>egulation/have-your-say/initiatives/12567-Sustainable-Products-Initiative</w:t>
        </w:r>
      </w:hyperlink>
      <w:r>
        <w:rPr>
          <w:rFonts w:ascii="Times New Roman" w:hAnsi="Times New Roman"/>
        </w:rPr>
        <w:t xml:space="preserve">. </w:t>
      </w:r>
    </w:p>
  </w:footnote>
  <w:footnote w:id="38">
    <w:p w14:paraId="76FA97D2"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https://eur-lex.europa.eu/legal-content/ES/TXT/?uri=CELEX%3A02009L0125-20121204.</w:t>
      </w:r>
    </w:p>
  </w:footnote>
  <w:footnote w:id="39">
    <w:p w14:paraId="069F4B07"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Una medida clave anunciada en la </w:t>
      </w:r>
      <w:hyperlink r:id="rId11" w:history="1">
        <w:r>
          <w:rPr>
            <w:rFonts w:ascii="Times New Roman" w:hAnsi="Times New Roman"/>
          </w:rPr>
          <w:t>estrategia digital</w:t>
        </w:r>
      </w:hyperlink>
      <w:r>
        <w:rPr>
          <w:rFonts w:ascii="Times New Roman" w:hAnsi="Times New Roman"/>
        </w:rPr>
        <w:t xml:space="preserve">, «Configurar el futuro digital de Europa» [COM(2020) 67 final] y en el Plan de Acción para la Economía Circular [COM(2020) 98 final]. </w:t>
      </w:r>
    </w:p>
  </w:footnote>
  <w:footnote w:id="40">
    <w:p w14:paraId="280E0936"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12" w:history="1">
        <w:r>
          <w:rPr>
            <w:rFonts w:ascii="Times New Roman" w:hAnsi="Times New Roman"/>
          </w:rPr>
          <w:t>https://ec.europa.eu/growth/sectors/electrical-engineering/red-directive/common-charger_es</w:t>
        </w:r>
      </w:hyperlink>
      <w:r>
        <w:rPr>
          <w:rFonts w:ascii="Times New Roman" w:hAnsi="Times New Roman"/>
        </w:rPr>
        <w:t>.</w:t>
      </w:r>
    </w:p>
  </w:footnote>
  <w:footnote w:id="41">
    <w:p w14:paraId="3D8422E7"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Además, la Comisión también analizará opciones para los s</w:t>
      </w:r>
      <w:r>
        <w:rPr>
          <w:rFonts w:ascii="Times New Roman" w:hAnsi="Times New Roman"/>
        </w:rPr>
        <w:t>istemas de recogida y devolución de aparatos electrónicos pequeños en toda la UE a los fines de mejorar la recogida y el tratamiento de los residuos de aparatos eléctricos y electrónicos y ofrecer a los consumidores más información y más opciones para devo</w:t>
      </w:r>
      <w:r>
        <w:rPr>
          <w:rFonts w:ascii="Times New Roman" w:hAnsi="Times New Roman"/>
        </w:rPr>
        <w:t>lver sus aparatos electrónicos utilizados y residuos electrónicos almacenados en casa.</w:t>
      </w:r>
    </w:p>
  </w:footnote>
  <w:footnote w:id="42">
    <w:p w14:paraId="113BB9EF"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w:t>
      </w:r>
      <w:hyperlink r:id="rId13" w:history="1">
        <w:r>
          <w:rPr>
            <w:rStyle w:val="Hipervnculo"/>
            <w:rFonts w:ascii="Times New Roman" w:hAnsi="Times New Roman"/>
          </w:rPr>
          <w:t>https://ec.europa.eu/info/files/factual-summary-repor</w:t>
        </w:r>
        <w:r>
          <w:rPr>
            <w:rStyle w:val="Hipervnculo"/>
            <w:rFonts w:ascii="Times New Roman" w:hAnsi="Times New Roman"/>
          </w:rPr>
          <w:t>t-public-consultation-new-consumer-agenda_es</w:t>
        </w:r>
      </w:hyperlink>
      <w:r>
        <w:rPr>
          <w:rStyle w:val="Hipervnculo"/>
          <w:rFonts w:ascii="Times New Roman" w:hAnsi="Times New Roman"/>
        </w:rPr>
        <w:t>.</w:t>
      </w:r>
    </w:p>
  </w:footnote>
  <w:footnote w:id="43">
    <w:p w14:paraId="3B58BA46"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Directiva (UE) 2019/771 del Parlamento Europeo y del Consejo, de 20 de mayo de 2019, relativa a determinados aspectos de los contratos de compraventa de bienes, por la que se modifican el Reglamento (UE) 2017</w:t>
      </w:r>
      <w:r>
        <w:rPr>
          <w:rFonts w:ascii="Times New Roman" w:hAnsi="Times New Roman"/>
        </w:rPr>
        <w:t>/2394 y la Directiva 2009/22/CE y se deroga la Directiva 1999/44/CE (DO L 136 de 22.5.2019, p. 28).</w:t>
      </w:r>
    </w:p>
  </w:footnote>
  <w:footnote w:id="44">
    <w:p w14:paraId="55EEEEF6"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https://eur-lex.europa.eu/legal-content/ES/TXT/?uri=LEGISSUM%3Aco0012</w:t>
      </w:r>
      <w:r>
        <w:t>.</w:t>
      </w:r>
    </w:p>
  </w:footnote>
  <w:footnote w:id="45">
    <w:p w14:paraId="4A5243E9"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COM(2018) 97 final. </w:t>
      </w:r>
    </w:p>
  </w:footnote>
  <w:footnote w:id="46">
    <w:p w14:paraId="510414BD"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En particular, el Reglamento sobre la divulgación de infor</w:t>
      </w:r>
      <w:r>
        <w:rPr>
          <w:rFonts w:ascii="Times New Roman" w:hAnsi="Times New Roman"/>
        </w:rPr>
        <w:t>mación relativa a la sostenibilidad (https://eur-lex.europa.eu/legal-content/ES/TXT/?uri=CELEX%3A32019R2088), la taxonomía de la UE (</w:t>
      </w:r>
      <w:hyperlink r:id="rId14" w:history="1">
        <w:r>
          <w:rPr>
            <w:rFonts w:ascii="Times New Roman" w:hAnsi="Times New Roman"/>
          </w:rPr>
          <w:t>https://eur-lex.europa.eu/legal-conten</w:t>
        </w:r>
        <w:r>
          <w:rPr>
            <w:rFonts w:ascii="Times New Roman" w:hAnsi="Times New Roman"/>
          </w:rPr>
          <w:t>t/ES/TXT/?uri=celex:32020R0852</w:t>
        </w:r>
      </w:hyperlink>
      <w:r>
        <w:rPr>
          <w:rFonts w:ascii="Times New Roman" w:hAnsi="Times New Roman"/>
        </w:rPr>
        <w:t>) y la revisión en curso de la Directiva sobre información no financiera.</w:t>
      </w:r>
    </w:p>
  </w:footnote>
  <w:footnote w:id="47">
    <w:p w14:paraId="249C815C" w14:textId="77777777" w:rsidR="00450244" w:rsidRDefault="00EB0B0F">
      <w:pPr>
        <w:pStyle w:val="Textonotapie"/>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Directiva (UE) 2019/944 del Parlamento Europeo y del Consejo, de 5 de junio de 2019, sobre normas comunes para el mercado interior de la electricidad </w:t>
      </w:r>
      <w:r>
        <w:rPr>
          <w:rFonts w:ascii="Times New Roman" w:hAnsi="Times New Roman"/>
        </w:rPr>
        <w:t xml:space="preserve">y por la que se modifica la Directiva 2012/27/UE </w:t>
      </w:r>
      <w:r>
        <w:rPr>
          <w:rStyle w:val="nfasis"/>
          <w:rFonts w:ascii="Times New Roman" w:hAnsi="Times New Roman"/>
          <w:i w:val="0"/>
        </w:rPr>
        <w:t>(DO L 158 de 14.6.2019, p. 125)</w:t>
      </w:r>
      <w:r>
        <w:rPr>
          <w:rFonts w:ascii="Times New Roman" w:hAnsi="Times New Roman"/>
        </w:rPr>
        <w:t>.</w:t>
      </w:r>
    </w:p>
  </w:footnote>
  <w:footnote w:id="48">
    <w:p w14:paraId="231B7313"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Anunciada también en la Estrategia Europea de Datos [COM(2020) 66 final].</w:t>
      </w:r>
    </w:p>
  </w:footnote>
  <w:footnote w:id="49">
    <w:p w14:paraId="6F1A72C5"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https://eur-lex.europa.eu/legal-content/ES/TXT/?uri=CELEX%3A52020PC0409</w:t>
      </w:r>
      <w:r>
        <w:t>.</w:t>
      </w:r>
    </w:p>
  </w:footnote>
  <w:footnote w:id="50">
    <w:p w14:paraId="64B1EBB8"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La convocatoria del P</w:t>
      </w:r>
      <w:r>
        <w:rPr>
          <w:rFonts w:ascii="Times New Roman" w:hAnsi="Times New Roman"/>
        </w:rPr>
        <w:t>acto Verde Europeo lanzada en septiembre de 2020 insta a hallar soluciones que empoderen a los ciudadanos, por ejemplo, a través de aplicaciones para teléfonos móviles que midan su huella de carbono sobre la base de datos sobre sus hábitos de consumo y pre</w:t>
      </w:r>
      <w:r>
        <w:rPr>
          <w:rFonts w:ascii="Times New Roman" w:hAnsi="Times New Roman"/>
        </w:rPr>
        <w:t>ferencias de estilo de vida y que ofrezcan sugerencias personalizadas para reducir la huella.</w:t>
      </w:r>
    </w:p>
  </w:footnote>
  <w:footnote w:id="51">
    <w:p w14:paraId="18ACF14D"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Por ejemplo, la herramienta desarrollada por la Comisión para calcular la huella del consumidor. </w:t>
      </w:r>
    </w:p>
  </w:footnote>
  <w:footnote w:id="52">
    <w:p w14:paraId="3DB1C953"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Véase el Programa de trabajo de la Comisión para 2021, COM(2020) 690 final.</w:t>
      </w:r>
    </w:p>
  </w:footnote>
  <w:footnote w:id="53">
    <w:p w14:paraId="68855163"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Por ejemplo, la </w:t>
      </w:r>
      <w:hyperlink r:id="rId15" w:history="1">
        <w:r>
          <w:rPr>
            <w:rFonts w:ascii="Times New Roman" w:hAnsi="Times New Roman"/>
          </w:rPr>
          <w:t>Recomendación 2013/179/UE</w:t>
        </w:r>
      </w:hyperlink>
      <w:r>
        <w:rPr>
          <w:rFonts w:ascii="Times New Roman" w:hAnsi="Times New Roman"/>
        </w:rPr>
        <w:t xml:space="preserve"> sobre el uso de métodos comunes para medir y comu</w:t>
      </w:r>
      <w:r>
        <w:rPr>
          <w:rFonts w:ascii="Times New Roman" w:hAnsi="Times New Roman"/>
        </w:rPr>
        <w:t>nicar el comportamiento ambiental de los productos y las organizaciones a lo largo de su ciclo de vida, y las sugerencias para actualizar los métodos de la huella ambiental (https://eplca.jrc.ec.europa.eu/permalink/PEF_method.pdf), el Reglamento (CE) n.º 1</w:t>
      </w:r>
      <w:r>
        <w:rPr>
          <w:rFonts w:ascii="Times New Roman" w:hAnsi="Times New Roman"/>
        </w:rPr>
        <w:t xml:space="preserve">221/2009 (EMAS) o el Reglamento (CE) n.º 66/2010 relativo a la etiqueta ecológica de la UE. </w:t>
      </w:r>
    </w:p>
  </w:footnote>
  <w:footnote w:id="54">
    <w:p w14:paraId="5D9033CE"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Reino Unido, Dinamarca, Países Bajos, Suecia y Alemania.</w:t>
      </w:r>
    </w:p>
  </w:footnote>
  <w:footnote w:id="55">
    <w:p w14:paraId="002054CF"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Eurostat</w:t>
      </w:r>
      <w:proofErr w:type="spellEnd"/>
      <w:r>
        <w:rPr>
          <w:rFonts w:ascii="Times New Roman" w:hAnsi="Times New Roman"/>
        </w:rPr>
        <w:t xml:space="preserve">: </w:t>
      </w:r>
      <w:hyperlink r:id="rId16" w:history="1">
        <w:r>
          <w:rPr>
            <w:rFonts w:ascii="Times New Roman" w:hAnsi="Times New Roman"/>
          </w:rPr>
          <w:t>Estadísticas sobre sociedad y economía digital - Hogares y particulares</w:t>
        </w:r>
      </w:hyperlink>
      <w:r>
        <w:rPr>
          <w:rFonts w:ascii="Times New Roman" w:hAnsi="Times New Roman"/>
        </w:rPr>
        <w:t xml:space="preserve"> - Pedido o compra de bienes y servicios.</w:t>
      </w:r>
    </w:p>
  </w:footnote>
  <w:footnote w:id="56">
    <w:p w14:paraId="73623D0C"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Directiva (UE) 2019/2161 del Parlamento Europeo y del Consejo, de 27 de noviemb</w:t>
      </w:r>
      <w:r>
        <w:rPr>
          <w:rFonts w:ascii="Times New Roman" w:hAnsi="Times New Roman"/>
        </w:rPr>
        <w:t>re de 2019, por la que se modifica la Directiva 93/13/CEE del Consejo y las Directivas 98/6/CE, 2005/29/CE y 2011/83/UE del Parlamento Europeo y del Consejo, en lo que atañe a la mejora de la aplicación y la modernización de las normas de protección de los</w:t>
      </w:r>
      <w:r>
        <w:rPr>
          <w:rFonts w:ascii="Times New Roman" w:hAnsi="Times New Roman"/>
        </w:rPr>
        <w:t xml:space="preserve"> consumidores de la Unión (DO L 328 de 18.12.2019, p. 7).</w:t>
      </w:r>
    </w:p>
  </w:footnote>
  <w:footnote w:id="57">
    <w:p w14:paraId="1ACCE9E0"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Directiva (UE) 2019/770 del Parlamento Europeo y del Consejo, de 20 de mayo de 2019, relativa a determinados aspectos de los contratos de suministro de contenidos y servicios digitales (DO L 136 d</w:t>
      </w:r>
      <w:r>
        <w:rPr>
          <w:rFonts w:ascii="Times New Roman" w:hAnsi="Times New Roman"/>
        </w:rPr>
        <w:t>e 22.5.2019, p. 1).</w:t>
      </w:r>
    </w:p>
  </w:footnote>
  <w:footnote w:id="58">
    <w:p w14:paraId="4235099F" w14:textId="77777777" w:rsidR="00450244" w:rsidRDefault="00EB0B0F">
      <w:pPr>
        <w:pStyle w:val="Textonotapie"/>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rPr>
        <w:t xml:space="preserve"> Diseños de interfaces de usuario que tienen la finalidad de manipular a los consumidores.</w:t>
      </w:r>
    </w:p>
  </w:footnote>
  <w:footnote w:id="59">
    <w:p w14:paraId="07BEEB09"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Si los algoritmos y otros sistemas de aprendizaje automático no son suficientemente transparentes y robustos, puede, por ejemplo, existir el riesgo de que se reproduzcan, amplifiquen o alimenten sesgos de los que los programadores no sean conscientes o qu</w:t>
      </w:r>
      <w:r>
        <w:rPr>
          <w:rFonts w:ascii="Times New Roman" w:hAnsi="Times New Roman"/>
        </w:rPr>
        <w:t>e son el resultado de una selección de datos específica.</w:t>
      </w:r>
    </w:p>
  </w:footnote>
  <w:footnote w:id="60">
    <w:p w14:paraId="424B7CAE"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Inteligencia artificial - un enfoque europeo orientado a la excelencia y la confianza [COM(2020) 65 final].</w:t>
      </w:r>
    </w:p>
  </w:footnote>
  <w:footnote w:id="61">
    <w:p w14:paraId="64FAF2D4"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Informe de la Comisión al Parlamento Europeo, al Consejo y al Comité Económico y Social</w:t>
      </w:r>
      <w:r>
        <w:rPr>
          <w:rFonts w:ascii="Times New Roman" w:hAnsi="Times New Roman"/>
        </w:rPr>
        <w:t xml:space="preserve"> Europeo - Informe sobre las repercusiones en materia de seguridad y responsabilidad civil de la inteligencia artificial, el internet de las cosas y la robótica [COM(2020) 64 final].</w:t>
      </w:r>
    </w:p>
  </w:footnote>
  <w:footnote w:id="62">
    <w:p w14:paraId="0A42A422"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Evaluación del impacto inicial para una propuesta de acto jurídico del </w:t>
      </w:r>
      <w:r>
        <w:rPr>
          <w:rFonts w:ascii="Times New Roman" w:hAnsi="Times New Roman"/>
        </w:rPr>
        <w:t>Parlamento Europeo y del Consejo que establezca los requisitos para la inteligencia artificial.</w:t>
      </w:r>
    </w:p>
  </w:footnote>
  <w:footnote w:id="63">
    <w:p w14:paraId="399F5C28"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Directiva 2006/42/CE del Parlamento Europeo y del Consejo, de 17 de mayo de 2006, relativa a las máquinas y por la que se modifica la Directiva 95/16/CE (DO L </w:t>
      </w:r>
      <w:r>
        <w:rPr>
          <w:rFonts w:ascii="Times New Roman" w:hAnsi="Times New Roman"/>
        </w:rPr>
        <w:t>157 de 9.6.2006, p. 24).</w:t>
      </w:r>
    </w:p>
  </w:footnote>
  <w:footnote w:id="64">
    <w:p w14:paraId="319F4007"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Directiva 2014/53/UE del Parlamento Europeo y del Consejo, de 16 de abril de 2014, relativa a la armonización de las legislaciones de los Estados miembros sobre la comercialización de equipos radioeléctricos, y por la que se dero</w:t>
      </w:r>
      <w:r>
        <w:rPr>
          <w:rFonts w:ascii="Times New Roman" w:hAnsi="Times New Roman"/>
        </w:rPr>
        <w:t>ga la Directiva 1999/5/CE (DO L 153 de 22.5.2014, p. 62).</w:t>
      </w:r>
    </w:p>
  </w:footnote>
  <w:footnote w:id="65">
    <w:p w14:paraId="456809AF"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17" w:history="1">
        <w:r>
          <w:rPr>
            <w:rFonts w:ascii="Times New Roman" w:hAnsi="Times New Roman"/>
          </w:rPr>
          <w:t>Directiva 2001/95/CE</w:t>
        </w:r>
      </w:hyperlink>
      <w:r>
        <w:rPr>
          <w:rFonts w:ascii="Times New Roman" w:hAnsi="Times New Roman"/>
        </w:rPr>
        <w:t xml:space="preserve"> del Parlamento Europeo y del Consejo, de 3 de diciembre de 2001, relativ</w:t>
      </w:r>
      <w:r>
        <w:rPr>
          <w:rFonts w:ascii="Times New Roman" w:hAnsi="Times New Roman"/>
        </w:rPr>
        <w:t>a a la seguridad general de los productos (DO L 11 de 15.1.2002, p. 4).</w:t>
      </w:r>
    </w:p>
  </w:footnote>
  <w:footnote w:id="66">
    <w:p w14:paraId="434860CE"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La Directiva se aplica a falta de disposiciones más específicas con el mismo objetivo en la legislación de la UE. </w:t>
      </w:r>
    </w:p>
  </w:footnote>
  <w:footnote w:id="67">
    <w:p w14:paraId="4AB69DB2"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Actualmente, la Comisión está evaluando el </w:t>
      </w:r>
      <w:hyperlink r:id="rId18" w:history="1">
        <w:r>
          <w:rPr>
            <w:rFonts w:ascii="Times New Roman" w:hAnsi="Times New Roman"/>
            <w:u w:val="single"/>
            <w:shd w:val="clear" w:color="auto" w:fill="FFFFFF"/>
          </w:rPr>
          <w:t>Reglamento (UE) n.º 910/2014</w:t>
        </w:r>
      </w:hyperlink>
      <w:r>
        <w:rPr>
          <w:rFonts w:ascii="Times New Roman" w:hAnsi="Times New Roman"/>
        </w:rPr>
        <w:t xml:space="preserve"> relativo a la identificación electrónica y los servicios de confianza para las transacciones electrónicas en el mercado interior (Reglamento </w:t>
      </w:r>
      <w:proofErr w:type="spellStart"/>
      <w:r>
        <w:rPr>
          <w:rFonts w:ascii="Times New Roman" w:hAnsi="Times New Roman"/>
        </w:rPr>
        <w:t>eIDAS</w:t>
      </w:r>
      <w:proofErr w:type="spellEnd"/>
      <w:r>
        <w:rPr>
          <w:rFonts w:ascii="Times New Roman" w:hAnsi="Times New Roman"/>
        </w:rPr>
        <w:t>).</w:t>
      </w:r>
    </w:p>
  </w:footnote>
  <w:footnote w:id="68">
    <w:p w14:paraId="5ACC8DDA"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Reglamento </w:t>
      </w:r>
      <w:r>
        <w:rPr>
          <w:rFonts w:ascii="Times New Roman" w:hAnsi="Times New Roman"/>
        </w:rPr>
        <w:t>(UE) 2018/302 del Parlamento Europeo y del Consejo, de 28 de febrero de 2018, sobre medidas destinadas a impedir el bloqueo geográfico injustificado y otras formas de discriminación por razón de la nacionalidad, del lugar de residencia o del lugar de estab</w:t>
      </w:r>
      <w:r>
        <w:rPr>
          <w:rFonts w:ascii="Times New Roman" w:hAnsi="Times New Roman"/>
        </w:rPr>
        <w:t>lecimiento de los clientes en el mercado interior y por el que se modifican los Reglamentos (CE) n.º 2006/2004 y (UE) 2017/2394 y la Directiva 2009/22/CE (</w:t>
      </w:r>
      <w:r>
        <w:rPr>
          <w:rStyle w:val="nfasis"/>
          <w:rFonts w:ascii="Times New Roman" w:hAnsi="Times New Roman"/>
          <w:i w:val="0"/>
        </w:rPr>
        <w:t>DO L 60 I de 2.3.2018, p. 1</w:t>
      </w:r>
      <w:r>
        <w:rPr>
          <w:rFonts w:ascii="Times New Roman" w:hAnsi="Times New Roman"/>
        </w:rPr>
        <w:t>).</w:t>
      </w:r>
      <w:r>
        <w:rPr>
          <w:rFonts w:ascii="Times New Roman" w:hAnsi="Times New Roman"/>
          <w:iCs/>
          <w:sz w:val="24"/>
          <w:szCs w:val="24"/>
        </w:rPr>
        <w:t xml:space="preserve"> </w:t>
      </w:r>
      <w:r>
        <w:rPr>
          <w:rFonts w:ascii="Times New Roman" w:hAnsi="Times New Roman"/>
          <w:iCs/>
        </w:rPr>
        <w:t>La Comisión adoptará en breve el informe que presenta sus conclusiones,</w:t>
      </w:r>
      <w:r>
        <w:rPr>
          <w:rFonts w:ascii="Times New Roman" w:hAnsi="Times New Roman"/>
          <w:iCs/>
        </w:rPr>
        <w:t xml:space="preserve"> incluida la necesidad de supervisar atentamente la aplicación del Reglamento por parte de las autoridades competentes, a fin de garantizar que los consumidores y las empresas se beneficien de todo el potencial del mercado único digital.</w:t>
      </w:r>
    </w:p>
  </w:footnote>
  <w:footnote w:id="69">
    <w:p w14:paraId="746ADC61"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Comunicación «Un</w:t>
      </w:r>
      <w:r>
        <w:rPr>
          <w:rFonts w:ascii="Times New Roman" w:hAnsi="Times New Roman"/>
        </w:rPr>
        <w:t>a Estrategia Europea de Datos» [COM(2020) 66 final].</w:t>
      </w:r>
    </w:p>
  </w:footnote>
  <w:footnote w:id="70">
    <w:p w14:paraId="42955C91"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En septiembre de 2020, a fin de garantizar que los consumidores y las empresas obtengan los beneficios de la innovación a la vez que están protegidos, la Comisión adoptó un nuevo paquete de finanzas di</w:t>
      </w:r>
      <w:r>
        <w:rPr>
          <w:rFonts w:ascii="Times New Roman" w:hAnsi="Times New Roman"/>
        </w:rPr>
        <w:t>gitales:</w:t>
      </w:r>
      <w:hyperlink r:id="rId19" w:history="1">
        <w:r>
          <w:rPr>
            <w:rStyle w:val="Hipervnculo"/>
            <w:rFonts w:ascii="Times New Roman" w:hAnsi="Times New Roman"/>
            <w:color w:val="000000"/>
          </w:rPr>
          <w:t>https://ec.europa.eu/info/publications/200924-digital-finance-proposals_en</w:t>
        </w:r>
      </w:hyperlink>
    </w:p>
  </w:footnote>
  <w:footnote w:id="71">
    <w:p w14:paraId="770CECBB"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Estrategia de Pagos Minoristas para la UE [COM(2020) 592 final]. </w:t>
      </w:r>
    </w:p>
  </w:footnote>
  <w:footnote w:id="72">
    <w:p w14:paraId="45E2BBC4" w14:textId="77777777" w:rsidR="00450244" w:rsidRDefault="00EB0B0F">
      <w:pPr>
        <w:pStyle w:val="Textonotapie"/>
      </w:pPr>
      <w:r>
        <w:rPr>
          <w:rStyle w:val="Refdenotaalpie"/>
          <w:rFonts w:ascii="Times New Roman" w:hAnsi="Times New Roman" w:cs="Times New Roman"/>
        </w:rPr>
        <w:footnoteRef/>
      </w:r>
      <w:r>
        <w:rPr>
          <w:rFonts w:ascii="Times New Roman" w:hAnsi="Times New Roman"/>
        </w:rPr>
        <w:t xml:space="preserve"> COM(2020) 592 final.</w:t>
      </w:r>
    </w:p>
  </w:footnote>
  <w:footnote w:id="73">
    <w:p w14:paraId="264A3588" w14:textId="77777777" w:rsidR="00450244" w:rsidRDefault="00EB0B0F">
      <w:pPr>
        <w:pStyle w:val="Textonotapie"/>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rPr>
        <w:t xml:space="preserve"> Directiva (UE) 2019/882 del Parlamento Europeo y del Consejo, de 17 de abril de 2019, sobre los requisitos de accesibilidad de los productos y servicios (DO L 151 de 7.6.2019, p. 70).</w:t>
      </w:r>
    </w:p>
  </w:footnote>
  <w:footnote w:id="74">
    <w:p w14:paraId="07F46865"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Comunicación «Plan de Acción de Educación Digi</w:t>
      </w:r>
      <w:r>
        <w:rPr>
          <w:rFonts w:ascii="Times New Roman" w:hAnsi="Times New Roman"/>
        </w:rPr>
        <w:t>tal 2021-2027 - Adaptar la educación y la formación para la era digital» [COM(2020) 624].</w:t>
      </w:r>
    </w:p>
  </w:footnote>
  <w:footnote w:id="75">
    <w:p w14:paraId="465590D4"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20" w:history="1">
        <w:r>
          <w:rPr>
            <w:rFonts w:ascii="Times New Roman" w:hAnsi="Times New Roman"/>
          </w:rPr>
          <w:t>https://ec.europa.eu/info/live-work-travel-eu/cons</w:t>
        </w:r>
        <w:r>
          <w:rPr>
            <w:rFonts w:ascii="Times New Roman" w:hAnsi="Times New Roman"/>
          </w:rPr>
          <w:t>umers/enforcement-consumer-protection/sweeps_es</w:t>
        </w:r>
      </w:hyperlink>
      <w:r>
        <w:rPr>
          <w:rFonts w:ascii="Times New Roman" w:hAnsi="Times New Roman"/>
        </w:rPr>
        <w:t xml:space="preserve">. </w:t>
      </w:r>
    </w:p>
  </w:footnote>
  <w:footnote w:id="76">
    <w:p w14:paraId="5BA20050"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Reglamento (UE) 2017/2394 del Parlamento Europeo y del Consejo, de 12 de diciembre de 2017, sobre la cooperación entre las autoridades nacionales responsables de la aplicación de la legislación en materia</w:t>
      </w:r>
      <w:r>
        <w:rPr>
          <w:rFonts w:ascii="Times New Roman" w:hAnsi="Times New Roman"/>
        </w:rPr>
        <w:t xml:space="preserve"> de protección de los consumidores y por el que se deroga el Reglamento (CE) n.º 2006/2004 (DO L 345 de 27.12.2017, p. 1).</w:t>
      </w:r>
    </w:p>
  </w:footnote>
  <w:footnote w:id="77">
    <w:p w14:paraId="70F2DB18"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Véase también la Comunicación conjunta, de 10 de junio de 2020, «La lucha contra la desinformación acerca de la COVID-19: contrasta</w:t>
      </w:r>
      <w:r>
        <w:rPr>
          <w:rFonts w:ascii="Times New Roman" w:hAnsi="Times New Roman"/>
        </w:rPr>
        <w:t>ndo los datos» [JOIN(2020) 8 final].</w:t>
      </w:r>
    </w:p>
  </w:footnote>
  <w:footnote w:id="78">
    <w:p w14:paraId="2FCC2659"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Directiva (UE) 2019/2161 del Parlamento Europeo y del Consejo, de 27 de noviembre de 2019, por la que se modifica la Directiva 93/13/CEE del Consejo y las Directivas 98/6/CE, 2005/29/CE y 2011/83/UE del Parlamento Eur</w:t>
      </w:r>
      <w:r>
        <w:rPr>
          <w:rFonts w:ascii="Times New Roman" w:hAnsi="Times New Roman"/>
        </w:rPr>
        <w:t xml:space="preserve">opeo y del Consejo, en lo que atañe a la mejora de la aplicación y la modernización de las normas de protección de los consumidores de la Unión (DO L 328 de 18.12.2019, p. 7). </w:t>
      </w:r>
    </w:p>
  </w:footnote>
  <w:footnote w:id="79">
    <w:p w14:paraId="45E7FD46"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Texto del acuerdo provisional realizado por los colegisladores en virtud de u</w:t>
      </w:r>
      <w:r>
        <w:rPr>
          <w:rFonts w:ascii="Times New Roman" w:hAnsi="Times New Roman"/>
        </w:rPr>
        <w:t>n acuerdo político sobre la propuesta del 22 de junio de 2020.</w:t>
      </w:r>
    </w:p>
  </w:footnote>
  <w:footnote w:id="80">
    <w:p w14:paraId="6FEC3135"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IAT —antiguos programas de apoyo a las reformas estructurales— [COM(2020) 409 final].</w:t>
      </w:r>
    </w:p>
  </w:footnote>
  <w:footnote w:id="81">
    <w:p w14:paraId="5328A2BB"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w:t>
      </w:r>
      <w:hyperlink r:id="rId21" w:history="1">
        <w:r>
          <w:rPr>
            <w:rStyle w:val="Hipervnculo"/>
            <w:rFonts w:ascii="Times New Roman" w:hAnsi="Times New Roman"/>
            <w:color w:val="auto"/>
          </w:rPr>
          <w:t>https://ec.europa.eu/isa2/eif_es</w:t>
        </w:r>
      </w:hyperlink>
      <w:r>
        <w:rPr>
          <w:rFonts w:ascii="Times New Roman" w:hAnsi="Times New Roman"/>
        </w:rPr>
        <w:t>.</w:t>
      </w:r>
    </w:p>
  </w:footnote>
  <w:footnote w:id="82">
    <w:p w14:paraId="58F7D01A"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En mayo y junio de 2020, la Comisión organizó mesas redondas de diálogo con las partes interesadas para debatir las medidas de ayuda ofrecidas por los bancos y los prestamistas no bancarios, a raíz de las cuales, en juli</w:t>
      </w:r>
      <w:r>
        <w:rPr>
          <w:rFonts w:ascii="Times New Roman" w:hAnsi="Times New Roman"/>
        </w:rPr>
        <w:t xml:space="preserve">o de 2020, se publicó un </w:t>
      </w:r>
      <w:hyperlink r:id="rId22" w:history="1">
        <w:r>
          <w:rPr>
            <w:rFonts w:ascii="Times New Roman" w:hAnsi="Times New Roman"/>
          </w:rPr>
          <w:t>documento sobre las mejores prácticas</w:t>
        </w:r>
      </w:hyperlink>
      <w:r>
        <w:rPr>
          <w:rFonts w:ascii="Times New Roman" w:hAnsi="Times New Roman"/>
        </w:rPr>
        <w:t>.</w:t>
      </w:r>
    </w:p>
  </w:footnote>
  <w:footnote w:id="83">
    <w:p w14:paraId="35F74C10" w14:textId="77777777" w:rsidR="00450244" w:rsidRDefault="00EB0B0F">
      <w:pPr>
        <w:pStyle w:val="Textocomentario"/>
        <w:spacing w:after="0"/>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El </w:t>
      </w:r>
      <w:hyperlink r:id="rId23" w:history="1">
        <w:r>
          <w:rPr>
            <w:rFonts w:ascii="Times New Roman" w:hAnsi="Times New Roman"/>
          </w:rPr>
          <w:t>Informe del BIT sobre los daños y la manipulación en línea</w:t>
        </w:r>
      </w:hyperlink>
      <w:r>
        <w:rPr>
          <w:rFonts w:ascii="Times New Roman" w:hAnsi="Times New Roman"/>
        </w:rPr>
        <w:t xml:space="preserve"> describe varias opciones interesantes, incluidas propuestas sobre el uso de los datos par</w:t>
      </w:r>
      <w:r>
        <w:rPr>
          <w:rFonts w:ascii="Times New Roman" w:hAnsi="Times New Roman"/>
        </w:rPr>
        <w:t xml:space="preserve">a identificar a los consumidores vulnerables (pág. 52) y otras medidas (por ejemplo, la autoexclusión). </w:t>
      </w:r>
    </w:p>
  </w:footnote>
  <w:footnote w:id="84">
    <w:p w14:paraId="6B2DDAC0"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hyperlink r:id="rId24" w:history="1">
        <w:r>
          <w:rPr>
            <w:rFonts w:ascii="Times New Roman" w:hAnsi="Times New Roman"/>
          </w:rPr>
          <w:t>https://www.europarl.europa.eu/news/es/press-room/20200525IPR79717/eu-citizens-want-more-competences-for-the-eu-to-deal-with-crises-like-covid-19</w:t>
        </w:r>
      </w:hyperlink>
      <w:r>
        <w:rPr>
          <w:rFonts w:ascii="Times New Roman" w:hAnsi="Times New Roman"/>
        </w:rPr>
        <w:t>.</w:t>
      </w:r>
    </w:p>
  </w:footnote>
  <w:footnote w:id="85">
    <w:p w14:paraId="592DE8E4" w14:textId="77777777" w:rsidR="00450244" w:rsidRDefault="00EB0B0F">
      <w:pPr>
        <w:pStyle w:val="Textonotapie"/>
        <w:jc w:val="both"/>
        <w:rPr>
          <w:rFonts w:ascii="Times New Roman" w:hAnsi="Times New Roman" w:cs="Times New Roman"/>
          <w:lang w:val="fr-BE"/>
        </w:rPr>
      </w:pPr>
      <w:r>
        <w:rPr>
          <w:rFonts w:ascii="Times New Roman" w:hAnsi="Times New Roman" w:cs="Times New Roman"/>
          <w:vertAlign w:val="superscript"/>
        </w:rPr>
        <w:footnoteRef/>
      </w:r>
      <w:r>
        <w:rPr>
          <w:rFonts w:ascii="Times New Roman" w:hAnsi="Times New Roman"/>
        </w:rPr>
        <w:t xml:space="preserve"> El código tiene la finalidad de actuar como distintivo de calidad con un conjunto unificado de </w:t>
      </w:r>
      <w:r>
        <w:rPr>
          <w:rFonts w:ascii="Times New Roman" w:hAnsi="Times New Roman"/>
        </w:rPr>
        <w:t xml:space="preserve">mejores prácticas para las instituciones europeas de </w:t>
      </w:r>
      <w:proofErr w:type="spellStart"/>
      <w:r>
        <w:rPr>
          <w:rFonts w:ascii="Times New Roman" w:hAnsi="Times New Roman"/>
        </w:rPr>
        <w:t>microfinanciación</w:t>
      </w:r>
      <w:proofErr w:type="spellEnd"/>
      <w:r>
        <w:rPr>
          <w:rFonts w:ascii="Times New Roman" w:hAnsi="Times New Roman"/>
        </w:rPr>
        <w:t xml:space="preserve"> que conceden préstamos empresariales de hasta 25 000 EUR para los microempresarios o los trabajadores por cuenta propia. </w:t>
      </w:r>
      <w:proofErr w:type="spellStart"/>
      <w:r>
        <w:rPr>
          <w:rFonts w:ascii="Times New Roman" w:hAnsi="Times New Roman"/>
          <w:lang w:val="fr-BE"/>
        </w:rPr>
        <w:t>Véase</w:t>
      </w:r>
      <w:proofErr w:type="spellEnd"/>
      <w:r>
        <w:rPr>
          <w:rFonts w:ascii="Times New Roman" w:hAnsi="Times New Roman"/>
          <w:lang w:val="fr-BE"/>
        </w:rPr>
        <w:t xml:space="preserve">: </w:t>
      </w:r>
      <w:hyperlink r:id="rId25" w:history="1">
        <w:r>
          <w:rPr>
            <w:rFonts w:ascii="Times New Roman" w:hAnsi="Times New Roman"/>
            <w:lang w:val="fr-BE"/>
          </w:rPr>
          <w:t>https://ec.europa.eu/social/main.jsp?catId=1482&amp;langId=es</w:t>
        </w:r>
      </w:hyperlink>
      <w:r>
        <w:rPr>
          <w:rFonts w:ascii="Times New Roman" w:hAnsi="Times New Roman"/>
          <w:lang w:val="fr-BE"/>
        </w:rPr>
        <w:t xml:space="preserve">. </w:t>
      </w:r>
    </w:p>
  </w:footnote>
  <w:footnote w:id="86">
    <w:p w14:paraId="514C5775"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Véase la acción 10 antes mencionada.</w:t>
      </w:r>
    </w:p>
  </w:footnote>
  <w:footnote w:id="87">
    <w:p w14:paraId="78C3FB2B"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Véase la Directiva (UE) 2019/1023 sobre la reestructuración, la insolvencia y la ex</w:t>
      </w:r>
      <w:r>
        <w:rPr>
          <w:rFonts w:ascii="Times New Roman" w:hAnsi="Times New Roman"/>
        </w:rPr>
        <w:t>oneración de deudas.</w:t>
      </w:r>
    </w:p>
  </w:footnote>
  <w:footnote w:id="88">
    <w:p w14:paraId="11878E65"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lang w:val="en-US"/>
        </w:rPr>
        <w:t xml:space="preserve"> </w:t>
      </w:r>
      <w:r>
        <w:rPr>
          <w:rFonts w:ascii="Times New Roman" w:hAnsi="Times New Roman"/>
          <w:lang w:val="en-US"/>
        </w:rPr>
        <w:t xml:space="preserve">Baptista, I. y Marlier, E.: </w:t>
      </w:r>
      <w:r>
        <w:rPr>
          <w:rFonts w:ascii="Times New Roman" w:hAnsi="Times New Roman"/>
          <w:i/>
          <w:iCs/>
          <w:lang w:val="en-US"/>
        </w:rPr>
        <w:t>Access to essential services for people on low incomes in Europe.</w:t>
      </w:r>
      <w:r>
        <w:rPr>
          <w:rFonts w:ascii="Times New Roman" w:hAnsi="Times New Roman"/>
          <w:lang w:val="en-US"/>
        </w:rPr>
        <w:t xml:space="preserve"> </w:t>
      </w:r>
      <w:proofErr w:type="spellStart"/>
      <w:r>
        <w:rPr>
          <w:rFonts w:ascii="Times New Roman" w:hAnsi="Times New Roman"/>
          <w:i/>
        </w:rPr>
        <w:t>An</w:t>
      </w:r>
      <w:proofErr w:type="spellEnd"/>
      <w:r>
        <w:rPr>
          <w:rFonts w:ascii="Times New Roman" w:hAnsi="Times New Roman"/>
          <w:i/>
        </w:rPr>
        <w:t xml:space="preserve"> </w:t>
      </w:r>
      <w:proofErr w:type="spellStart"/>
      <w:r>
        <w:rPr>
          <w:rFonts w:ascii="Times New Roman" w:hAnsi="Times New Roman"/>
          <w:i/>
        </w:rPr>
        <w:t>analysis</w:t>
      </w:r>
      <w:proofErr w:type="spellEnd"/>
      <w:r>
        <w:rPr>
          <w:rFonts w:ascii="Times New Roman" w:hAnsi="Times New Roman"/>
          <w:i/>
        </w:rPr>
        <w:t xml:space="preserve"> of </w:t>
      </w:r>
      <w:proofErr w:type="spellStart"/>
      <w:r>
        <w:rPr>
          <w:rFonts w:ascii="Times New Roman" w:hAnsi="Times New Roman"/>
          <w:i/>
        </w:rPr>
        <w:t>policies</w:t>
      </w:r>
      <w:proofErr w:type="spellEnd"/>
      <w:r>
        <w:rPr>
          <w:rFonts w:ascii="Times New Roman" w:hAnsi="Times New Roman"/>
          <w:i/>
        </w:rPr>
        <w:t xml:space="preserve"> in 35 </w:t>
      </w:r>
      <w:proofErr w:type="spellStart"/>
      <w:r>
        <w:rPr>
          <w:rFonts w:ascii="Times New Roman" w:hAnsi="Times New Roman"/>
          <w:i/>
        </w:rPr>
        <w:t>countries</w:t>
      </w:r>
      <w:proofErr w:type="spellEnd"/>
      <w:r>
        <w:rPr>
          <w:rFonts w:ascii="Times New Roman" w:hAnsi="Times New Roman"/>
        </w:rPr>
        <w:t>, Red Europea de Política Social (REPS), Bruselas, Comisión Europea, 2020.</w:t>
      </w:r>
    </w:p>
  </w:footnote>
  <w:footnote w:id="89">
    <w:p w14:paraId="186E7037"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Recomendación de la Com</w:t>
      </w:r>
      <w:r>
        <w:rPr>
          <w:rFonts w:ascii="Times New Roman" w:hAnsi="Times New Roman"/>
        </w:rPr>
        <w:t>isión, de 14 de octubre de 2020, sobre la pobreza energética [C(2020) 9600 final].</w:t>
      </w:r>
    </w:p>
  </w:footnote>
  <w:footnote w:id="90">
    <w:p w14:paraId="5FD3B84F"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Directiva (UE) 2019/882 sobre los requisitos de accesibilidad de los productos y servicios </w:t>
      </w:r>
      <w:hyperlink r:id="rId26" w:history="1">
        <w:r>
          <w:rPr>
            <w:rFonts w:ascii="Times New Roman" w:hAnsi="Times New Roman"/>
          </w:rPr>
          <w:t>https://eur-lex.europa.eu/legal-content/ES/TXT/?uri=CELEX%3A32019L0882</w:t>
        </w:r>
      </w:hyperlink>
      <w:r>
        <w:rPr>
          <w:rFonts w:ascii="Times New Roman" w:hAnsi="Times New Roman"/>
        </w:rPr>
        <w:t xml:space="preserve"> </w:t>
      </w:r>
      <w:r>
        <w:rPr>
          <w:rFonts w:ascii="Times New Roman" w:hAnsi="Times New Roman"/>
          <w:shd w:val="clear" w:color="auto" w:fill="FFFFFF"/>
        </w:rPr>
        <w:t>(DO L 151 de 7.6.2019, p. 70).</w:t>
      </w:r>
    </w:p>
  </w:footnote>
  <w:footnote w:id="91">
    <w:p w14:paraId="58528FBB"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Véase, por ejemplo, </w:t>
      </w:r>
      <w:r>
        <w:rPr>
          <w:rFonts w:ascii="Times New Roman" w:hAnsi="Times New Roman"/>
          <w:color w:val="222222"/>
          <w:bdr w:val="none" w:sz="0" w:space="0" w:color="auto" w:frame="1"/>
        </w:rPr>
        <w:t>«Empoderar a los consumidores en el vecindario», un proyecto conjunto de la Federación Alemana de las Organizaciones de Consumi</w:t>
      </w:r>
      <w:r>
        <w:rPr>
          <w:rFonts w:ascii="Times New Roman" w:hAnsi="Times New Roman"/>
          <w:color w:val="222222"/>
          <w:bdr w:val="none" w:sz="0" w:space="0" w:color="auto" w:frame="1"/>
        </w:rPr>
        <w:t>dores (</w:t>
      </w:r>
      <w:proofErr w:type="spellStart"/>
      <w:r>
        <w:rPr>
          <w:rFonts w:ascii="Times New Roman" w:hAnsi="Times New Roman"/>
          <w:color w:val="222222"/>
          <w:bdr w:val="none" w:sz="0" w:space="0" w:color="auto" w:frame="1"/>
        </w:rPr>
        <w:t>vzbv</w:t>
      </w:r>
      <w:proofErr w:type="spellEnd"/>
      <w:r>
        <w:rPr>
          <w:rFonts w:ascii="Times New Roman" w:hAnsi="Times New Roman"/>
          <w:color w:val="222222"/>
          <w:bdr w:val="none" w:sz="0" w:space="0" w:color="auto" w:frame="1"/>
        </w:rPr>
        <w:t>) y los centros del consumidor.</w:t>
      </w:r>
      <w:r>
        <w:tab/>
        <w:t xml:space="preserve"> </w:t>
      </w:r>
      <w:r>
        <w:br/>
      </w:r>
      <w:hyperlink r:id="rId27" w:history="1">
        <w:r>
          <w:rPr>
            <w:rStyle w:val="Hipervnculo"/>
            <w:rFonts w:ascii="Times New Roman" w:hAnsi="Times New Roman"/>
          </w:rPr>
          <w:t>https://www.vzbv.de/pressemitteilung/verbraucher-staerken-im-quartier</w:t>
        </w:r>
      </w:hyperlink>
      <w:r>
        <w:rPr>
          <w:rStyle w:val="Hipervnculo"/>
          <w:rFonts w:ascii="Times New Roman" w:hAnsi="Times New Roman"/>
        </w:rPr>
        <w:t>.</w:t>
      </w:r>
    </w:p>
  </w:footnote>
  <w:footnote w:id="92">
    <w:p w14:paraId="7260DB63"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Véase la Comunicación de la Comisión al Parlamento E</w:t>
      </w:r>
      <w:r>
        <w:rPr>
          <w:rFonts w:ascii="Times New Roman" w:hAnsi="Times New Roman"/>
        </w:rPr>
        <w:t xml:space="preserve">uropeo, al Consejo, al Comité Económico y Social Europeo y al Comité de las Regiones ­ Una Unión de los Mercados de Capitales para las personas y las empresas: nuevo plan de acción [COM(2020) 590 final], Acción 7: Capacitar a los ciudadanos a través de la </w:t>
      </w:r>
      <w:r>
        <w:rPr>
          <w:rFonts w:ascii="Times New Roman" w:hAnsi="Times New Roman"/>
        </w:rPr>
        <w:t>cultura financiera.</w:t>
      </w:r>
    </w:p>
  </w:footnote>
  <w:footnote w:id="93">
    <w:p w14:paraId="08CD58BC"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Los datos sobre lesiones muestran que los niños y las personas mayores son los grupos de consumidores más vulnerables cuando se trata de la seguridad de los productos. Juntos representan el 54 % de todas las lesiones relacionadas con </w:t>
      </w:r>
      <w:r>
        <w:rPr>
          <w:rFonts w:ascii="Times New Roman" w:hAnsi="Times New Roman"/>
        </w:rPr>
        <w:t>los productos, pero solo el 35 % de la población de la UE.</w:t>
      </w:r>
    </w:p>
  </w:footnote>
  <w:footnote w:id="94">
    <w:p w14:paraId="48D1C9D6"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Verificando la seguridad de los productos vendidos tanto en línea como fuera de línea, por ejemplo, cunas reclinables, columpios para bebés y andadores.</w:t>
      </w:r>
    </w:p>
  </w:footnote>
  <w:footnote w:id="95">
    <w:p w14:paraId="3338F0A8"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Actividades coordinadas en materia de se</w:t>
      </w:r>
      <w:r>
        <w:rPr>
          <w:rFonts w:ascii="Times New Roman" w:hAnsi="Times New Roman"/>
        </w:rPr>
        <w:t>guridad de los productos (artículo 10 de la Directiva 2001/95/CE relativa a la seguridad general de los productos).</w:t>
      </w:r>
    </w:p>
  </w:footnote>
  <w:footnote w:id="96">
    <w:p w14:paraId="2A7535AC"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Directiva del Consejo 2004/113/CE, de 13 de diciembre de 2004, por la que se aplica el principio de igualdad de trato entre hombres y muje</w:t>
      </w:r>
      <w:r>
        <w:rPr>
          <w:rFonts w:ascii="Times New Roman" w:hAnsi="Times New Roman"/>
        </w:rPr>
        <w:t>res al acceso a bienes y servicios y su suministro [DO L 373 de 21.12.2004, p. 37;</w:t>
      </w:r>
    </w:p>
  </w:footnote>
  <w:footnote w:id="97">
    <w:p w14:paraId="6D98DCC0"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Directiva 2000/43/CE del Consejo, de 29 de junio de 2000, relativa a la aplicación del principio de igualdad de trato de las personas independientemente de su origen racial o étnico </w:t>
      </w:r>
      <w:r>
        <w:rPr>
          <w:rStyle w:val="nfasis"/>
          <w:rFonts w:ascii="Times New Roman" w:hAnsi="Times New Roman"/>
          <w:i w:val="0"/>
        </w:rPr>
        <w:t>(DO L 180 de 19.7.2000, p. 22).</w:t>
      </w:r>
      <w:r>
        <w:rPr>
          <w:rStyle w:val="nfasis"/>
          <w:rFonts w:ascii="Times New Roman" w:hAnsi="Times New Roman"/>
        </w:rPr>
        <w:t xml:space="preserve"> </w:t>
      </w:r>
    </w:p>
  </w:footnote>
  <w:footnote w:id="98">
    <w:p w14:paraId="1C59A6B7" w14:textId="77777777" w:rsidR="00450244" w:rsidRDefault="00EB0B0F">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https://fra.europa.eu/sites/default/fi</w:t>
      </w:r>
      <w:r>
        <w:rPr>
          <w:rFonts w:ascii="Times New Roman" w:hAnsi="Times New Roman"/>
        </w:rPr>
        <w:t>les/fra_uploads/fra-2018-focus-big-data_en.pdf</w:t>
      </w:r>
    </w:p>
  </w:footnote>
  <w:footnote w:id="99">
    <w:p w14:paraId="365D82CA" w14:textId="77777777" w:rsidR="00450244" w:rsidRDefault="00EB0B0F">
      <w:pPr>
        <w:pStyle w:val="Textonotapie"/>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vertAlign w:val="superscript"/>
        </w:rPr>
        <w:t xml:space="preserve"> </w:t>
      </w:r>
      <w:hyperlink r:id="rId28" w:history="1">
        <w:r>
          <w:rPr>
            <w:rFonts w:ascii="Times New Roman" w:hAnsi="Times New Roman"/>
          </w:rPr>
          <w:t>http://ec.europa.eu/consumers/consumer_evidence/market_studies/vulnerability/index_en.htm</w:t>
        </w:r>
      </w:hyperlink>
      <w:r>
        <w:rPr>
          <w:rFonts w:ascii="Times New Roman" w:hAnsi="Times New Roman"/>
        </w:rPr>
        <w:t>.</w:t>
      </w:r>
    </w:p>
  </w:footnote>
  <w:footnote w:id="100">
    <w:p w14:paraId="3C6F3DB9" w14:textId="77777777" w:rsidR="00450244" w:rsidRDefault="00EB0B0F">
      <w:pPr>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rPr>
        <w:footnoteRef/>
      </w:r>
      <w:r>
        <w:rPr>
          <w:rFonts w:ascii="Times New Roman" w:hAnsi="Times New Roman"/>
          <w:sz w:val="20"/>
          <w:szCs w:val="20"/>
          <w:vertAlign w:val="superscript"/>
          <w:lang w:val="en-US"/>
        </w:rPr>
        <w:t xml:space="preserve"> </w:t>
      </w:r>
      <w:r>
        <w:rPr>
          <w:rFonts w:ascii="Times New Roman" w:hAnsi="Times New Roman"/>
          <w:sz w:val="20"/>
          <w:szCs w:val="20"/>
          <w:lang w:val="en-US"/>
        </w:rPr>
        <w:t>Eurostat</w:t>
      </w:r>
      <w:r>
        <w:rPr>
          <w:rFonts w:ascii="Times New Roman" w:hAnsi="Times New Roman"/>
          <w:sz w:val="20"/>
          <w:szCs w:val="20"/>
          <w:lang w:val="en-US"/>
        </w:rPr>
        <w:t xml:space="preserve">: </w:t>
      </w:r>
      <w:hyperlink r:id="rId29" w:anchor="E-shopping_from_other_EU_countries" w:history="1">
        <w:r>
          <w:rPr>
            <w:rFonts w:ascii="Times New Roman" w:hAnsi="Times New Roman"/>
            <w:sz w:val="20"/>
            <w:szCs w:val="20"/>
            <w:lang w:val="en-US"/>
          </w:rPr>
          <w:t>https://ec.europa.eu/eurostat/statistics-explained/index.php/E commerce_statistics_for_individual</w:t>
        </w:r>
        <w:r>
          <w:rPr>
            <w:rFonts w:ascii="Times New Roman" w:hAnsi="Times New Roman"/>
            <w:sz w:val="20"/>
            <w:szCs w:val="20"/>
            <w:lang w:val="en-US"/>
          </w:rPr>
          <w:t>s#E-shopping_from_other_EU_countries</w:t>
        </w:r>
      </w:hyperlink>
      <w:r>
        <w:rPr>
          <w:rFonts w:ascii="Times New Roman" w:hAnsi="Times New Roman"/>
          <w:sz w:val="20"/>
          <w:szCs w:val="20"/>
          <w:lang w:val="en-US"/>
        </w:rPr>
        <w:t>.</w:t>
      </w:r>
    </w:p>
  </w:footnote>
  <w:footnote w:id="101">
    <w:p w14:paraId="129FC0D8" w14:textId="77777777" w:rsidR="00450244" w:rsidRDefault="00EB0B0F">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En relación con la estrategia de la UE con África, véase la Comunicación conjunta de la Comisión Europea y el Alto Representante de la Unión para Asuntos Exteriores y Política de Seguridad al Parlamento Europeo y al </w:t>
      </w:r>
      <w:r>
        <w:rPr>
          <w:rFonts w:ascii="Times New Roman" w:hAnsi="Times New Roman"/>
        </w:rPr>
        <w:t>Consejo, de 9 de marzo de 2020 [JOIN(2020) 4 final].</w:t>
      </w:r>
    </w:p>
  </w:footnote>
  <w:footnote w:id="102">
    <w:p w14:paraId="15B5E1C2"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La Cumbre del Consumidor reúne a las partes interesadas de los Estados miembros de la UE, incluidos responsables políticos, autoridades nacionales competentes, académicos, organizaciones empresariales </w:t>
      </w:r>
      <w:r>
        <w:rPr>
          <w:rFonts w:ascii="Times New Roman" w:hAnsi="Times New Roman"/>
        </w:rPr>
        <w:t xml:space="preserve">y de consumidores, así como representantes juveniles. </w:t>
      </w:r>
    </w:p>
  </w:footnote>
  <w:footnote w:id="103">
    <w:p w14:paraId="7DA2874B"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Que se celebra el 15 de marzo de cada año.</w:t>
      </w:r>
    </w:p>
  </w:footnote>
  <w:footnote w:id="104">
    <w:p w14:paraId="5F2D54CF" w14:textId="77777777" w:rsidR="00450244" w:rsidRDefault="00EB0B0F">
      <w:pPr>
        <w:pStyle w:val="Textonotapie"/>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Por ejemplo, la Red de Política de los Consumidores, que reúne a altos funcionarios de los Estados miembros y de la Comisión.</w:t>
      </w:r>
    </w:p>
  </w:footnote>
  <w:footnote w:id="105">
    <w:p w14:paraId="691B801C" w14:textId="77777777" w:rsidR="00450244" w:rsidRDefault="00EB0B0F">
      <w:pPr>
        <w:pStyle w:val="footnotedescription"/>
        <w:spacing w:line="240" w:lineRule="auto"/>
      </w:pPr>
      <w:r>
        <w:rPr>
          <w:rStyle w:val="Refdenotaalpie"/>
        </w:rPr>
        <w:footnoteRef/>
      </w:r>
      <w:r>
        <w:t xml:space="preserve"> En calidad de grupo inform</w:t>
      </w:r>
      <w:r>
        <w:t>al de expertos de conformidad con la</w:t>
      </w:r>
      <w:r>
        <w:rPr>
          <w:color w:val="1F497D"/>
        </w:rPr>
        <w:t xml:space="preserve"> </w:t>
      </w:r>
      <w:r>
        <w:rPr>
          <w:color w:val="auto"/>
        </w:rPr>
        <w:t>Decisión de la Comisión, de 30 de mayo de 2016, por la que se establecen normas horizontales sobre la creación y el funcionamiento de los grupos de expertos de la Comisión [C(2016) 3301 final].</w:t>
      </w:r>
    </w:p>
    <w:p w14:paraId="5F0E9620" w14:textId="77777777" w:rsidR="00450244" w:rsidRDefault="00450244">
      <w:pPr>
        <w:pStyle w:val="Textonotapie"/>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BF9A" w14:textId="77777777" w:rsidR="00450244" w:rsidRDefault="004502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7817" w14:textId="77777777" w:rsidR="00450244" w:rsidRDefault="0045024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33D5" w14:textId="77777777" w:rsidR="00450244" w:rsidRDefault="0045024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38B6" w14:textId="77777777" w:rsidR="00450244" w:rsidRDefault="0045024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4A9C" w14:textId="77777777" w:rsidR="00450244" w:rsidRDefault="0045024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1AB9" w14:textId="77777777" w:rsidR="00450244" w:rsidRDefault="004502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1559"/>
    <w:multiLevelType w:val="hybridMultilevel"/>
    <w:tmpl w:val="470E5CE0"/>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1" w15:restartNumberingAfterBreak="0">
    <w:nsid w:val="08F26E03"/>
    <w:multiLevelType w:val="hybridMultilevel"/>
    <w:tmpl w:val="612C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D540D9"/>
    <w:multiLevelType w:val="hybridMultilevel"/>
    <w:tmpl w:val="0B6C8396"/>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4" w15:restartNumberingAfterBreak="0">
    <w:nsid w:val="29FB363B"/>
    <w:multiLevelType w:val="hybridMultilevel"/>
    <w:tmpl w:val="76FE8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1680D95"/>
    <w:multiLevelType w:val="hybridMultilevel"/>
    <w:tmpl w:val="898C682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5297CB9"/>
    <w:multiLevelType w:val="hybridMultilevel"/>
    <w:tmpl w:val="BC0CA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D5B87"/>
    <w:multiLevelType w:val="hybridMultilevel"/>
    <w:tmpl w:val="5E1E4142"/>
    <w:lvl w:ilvl="0" w:tplc="9774D4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8C166FF"/>
    <w:multiLevelType w:val="hybridMultilevel"/>
    <w:tmpl w:val="0C2096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C35EC"/>
    <w:multiLevelType w:val="hybridMultilevel"/>
    <w:tmpl w:val="9A40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D13D0"/>
    <w:multiLevelType w:val="hybridMultilevel"/>
    <w:tmpl w:val="815AC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766F1"/>
    <w:multiLevelType w:val="hybridMultilevel"/>
    <w:tmpl w:val="D55CDF64"/>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12" w15:restartNumberingAfterBreak="0">
    <w:nsid w:val="5DA9538D"/>
    <w:multiLevelType w:val="hybridMultilevel"/>
    <w:tmpl w:val="39E8E77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C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7002F"/>
    <w:multiLevelType w:val="hybridMultilevel"/>
    <w:tmpl w:val="8BCC8AF2"/>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14" w15:restartNumberingAfterBreak="0">
    <w:nsid w:val="66005D68"/>
    <w:multiLevelType w:val="hybridMultilevel"/>
    <w:tmpl w:val="2DC2E7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E7F91"/>
    <w:multiLevelType w:val="multilevel"/>
    <w:tmpl w:val="787A7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6B436F"/>
    <w:multiLevelType w:val="hybridMultilevel"/>
    <w:tmpl w:val="57FA62C2"/>
    <w:lvl w:ilvl="0" w:tplc="B4F4966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D71786"/>
    <w:multiLevelType w:val="hybridMultilevel"/>
    <w:tmpl w:val="701AED6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E5C5F70"/>
    <w:multiLevelType w:val="hybridMultilevel"/>
    <w:tmpl w:val="3E5A766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C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6"/>
  </w:num>
  <w:num w:numId="5">
    <w:abstractNumId w:val="9"/>
  </w:num>
  <w:num w:numId="6">
    <w:abstractNumId w:val="7"/>
  </w:num>
  <w:num w:numId="7">
    <w:abstractNumId w:val="8"/>
  </w:num>
  <w:num w:numId="8">
    <w:abstractNumId w:val="10"/>
  </w:num>
  <w:num w:numId="9">
    <w:abstractNumId w:val="5"/>
  </w:num>
  <w:num w:numId="10">
    <w:abstractNumId w:val="17"/>
  </w:num>
  <w:num w:numId="11">
    <w:abstractNumId w:val="4"/>
  </w:num>
  <w:num w:numId="12">
    <w:abstractNumId w:val="1"/>
  </w:num>
  <w:num w:numId="13">
    <w:abstractNumId w:val="18"/>
  </w:num>
  <w:num w:numId="14">
    <w:abstractNumId w:val="12"/>
  </w:num>
  <w:num w:numId="15">
    <w:abstractNumId w:val="13"/>
  </w:num>
  <w:num w:numId="16">
    <w:abstractNumId w:val="0"/>
  </w:num>
  <w:num w:numId="17">
    <w:abstractNumId w:val="3"/>
  </w:num>
  <w:num w:numId="18">
    <w:abstractNumId w:val="11"/>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0"/>
  <w:activeWritingStyle w:appName="MSWord" w:lang="pt-PT" w:vendorID="64" w:dllVersion="6" w:nlCheck="1" w:checkStyle="0"/>
  <w:activeWritingStyle w:appName="MSWord" w:lang="nl-BE"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DA7F3536-1B09-4209-95D9-0CEBA17C16A3"/>
    <w:docVar w:name="LW_COVERPAGE_TYPE" w:val="1"/>
    <w:docVar w:name="LW_CROSSREFERENCE" w:val="&lt;UNUSED&gt;"/>
    <w:docVar w:name="LW_DocType" w:val="NORMAL"/>
    <w:docVar w:name="LW_EMISSION" w:val="13.11.2020"/>
    <w:docVar w:name="LW_EMISSION_ISODATE" w:val="2020-11-13"/>
    <w:docVar w:name="LW_EMISSION_LOCATION" w:val="BRX"/>
    <w:docVar w:name="LW_EMISSION_PREFIX" w:val="Bruselas, "/>
    <w:docVar w:name="LW_EMISSION_SUFFIX" w:val=" "/>
    <w:docVar w:name="LW_ID_DOCTYPE_NONLW" w:val="CP-012"/>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6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Times New Roman Bold,Bold&gt;Nueva Agenda del Consumidor&lt;/FMT&gt;_x000d__x000d__x000d__x000d__x000d__x000d__x000d__x000b__x000d__x000d__x000d__x000d__x000d__x000b_Reforzar la resiliencia del consumidor para una recuperación sostenible"/>
    <w:docVar w:name="LW_TYPE.DOC.CP" w:val="COMUNICACIÓN DE LA COMISIÓN AL PARLAMENTO EUROPEO Y AL CONSEJO"/>
    <w:docVar w:name="LW_TYPE.DOC.CP.USERTEXT" w:val="&lt;EMPTY&gt;"/>
  </w:docVars>
  <w:rsids>
    <w:rsidRoot w:val="00450244"/>
    <w:rsid w:val="00450244"/>
    <w:rsid w:val="00520C18"/>
    <w:rsid w:val="00EB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9B08"/>
  <w15:docId w15:val="{C4A5B677-646B-A24F-88F7-D29E329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line="360" w:lineRule="auto"/>
      <w:outlineLvl w:val="0"/>
    </w:pPr>
    <w:rPr>
      <w:rFonts w:ascii="Arial" w:eastAsiaTheme="majorEastAsia" w:hAnsi="Arial"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Char Char Char,Indicator Text,Bullet Points,MAIN CONTENT,OBC Bullet,List Paragraph12,Dot pt,No Spacing1,Numbered Para 1,List Paragraph1,List Paragraph11,F5 List Paragraph,Colorful List - Accent 11,Normal numbered,Bullet 1"/>
    <w:basedOn w:val="Normal"/>
    <w:link w:val="PrrafodelistaCar"/>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nhideWhenUsed/>
    <w:pPr>
      <w:spacing w:line="240" w:lineRule="auto"/>
    </w:pPr>
    <w:rPr>
      <w:sz w:val="20"/>
      <w:szCs w:val="20"/>
    </w:rPr>
  </w:style>
  <w:style w:type="character" w:customStyle="1" w:styleId="TextocomentarioCar">
    <w:name w:val="Texto comentario Car"/>
    <w:basedOn w:val="Fuentedeprrafopredeter"/>
    <w:link w:val="Textocomentario"/>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pPr>
      <w:spacing w:after="0" w:line="240" w:lineRule="auto"/>
    </w:p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TextonotapieCar"/>
    <w:uiPriority w:val="99"/>
    <w:unhideWhenUsed/>
    <w:qFormat/>
    <w:pPr>
      <w:spacing w:after="0" w:line="240" w:lineRule="auto"/>
    </w:pPr>
    <w:rPr>
      <w:sz w:val="20"/>
      <w:szCs w:val="20"/>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basedOn w:val="Fuentedeprrafopredeter"/>
    <w:link w:val="Textonotapie"/>
    <w:uiPriority w:val="99"/>
    <w:qFormat/>
    <w:rPr>
      <w:sz w:val="20"/>
      <w:szCs w:val="20"/>
    </w:rPr>
  </w:style>
  <w:style w:type="character" w:styleId="Refdenotaalpie">
    <w:name w:val="footnote reference"/>
    <w:aliases w:val="ftref,ftref Char,BVI fnr Char,BVI fnr Car Char,Char Char Car Char,Char Char Char Char Char Char Char Char Char Char Char Char Char Char Char Char Char Char Char Char Car Char,16 Point Char,BVI fnr, Char Char, BVI fnr Zchn"/>
    <w:basedOn w:val="Fuentedeprrafopredeter"/>
    <w:link w:val="AppelnotedebasdepBVIfnrCarCarCarCar"/>
    <w:uiPriority w:val="99"/>
    <w:unhideWhenUsed/>
    <w:qFormat/>
    <w:rPr>
      <w:vertAlign w:val="superscript"/>
    </w:rPr>
  </w:style>
  <w:style w:type="character" w:customStyle="1" w:styleId="PrrafodelistaCar">
    <w:name w:val="Párrafo de lista Car"/>
    <w:aliases w:val="List Paragraph Char Char Char Car,Indicator Text Car,Bullet Points Car,MAIN CONTENT Car,OBC Bullet Car,List Paragraph12 Car,Dot pt Car,No Spacing1 Car,Numbered Para 1 Car,List Paragraph1 Car,List Paragraph11 Car,Normal numbered Car"/>
    <w:link w:val="Prrafodelista"/>
    <w:uiPriority w:val="34"/>
    <w:qFormat/>
    <w:locked/>
  </w:style>
  <w:style w:type="character" w:styleId="Hipervnculo">
    <w:name w:val="Hyperlink"/>
    <w:basedOn w:val="Fuentedeprrafopredeter"/>
    <w:uiPriority w:val="99"/>
    <w:unhideWhenUsed/>
    <w:rPr>
      <w:color w:val="0563C1"/>
      <w:u w:val="single"/>
    </w:rPr>
  </w:style>
  <w:style w:type="character" w:customStyle="1" w:styleId="Ttulo1Car">
    <w:name w:val="Título 1 Car"/>
    <w:basedOn w:val="Fuentedeprrafopredeter"/>
    <w:link w:val="Ttulo1"/>
    <w:uiPriority w:val="9"/>
    <w:rPr>
      <w:rFonts w:ascii="Arial" w:eastAsiaTheme="majorEastAsia" w:hAnsi="Arial" w:cstheme="majorBidi"/>
      <w:b/>
      <w:bCs/>
      <w:color w:val="2E74B5" w:themeColor="accent1" w:themeShade="BF"/>
      <w:sz w:val="28"/>
      <w:szCs w:val="28"/>
      <w:lang w:val="es-ES"/>
    </w:rPr>
  </w:style>
  <w:style w:type="paragraph" w:customStyle="1" w:styleId="BMJNummerierung2">
    <w:name w:val="BMJ_Nummerierung_2"/>
    <w:basedOn w:val="Normal"/>
    <w:uiPriority w:val="1"/>
    <w:qFormat/>
    <w:pPr>
      <w:numPr>
        <w:numId w:val="2"/>
      </w:numPr>
      <w:spacing w:before="60" w:after="60" w:line="360" w:lineRule="auto"/>
      <w:ind w:left="357" w:hanging="357"/>
    </w:pPr>
    <w:rPr>
      <w:rFonts w:ascii="Arial" w:hAnsi="Arial" w:cstheme="majorBidi"/>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nfasis">
    <w:name w:val="Emphasis"/>
    <w:basedOn w:val="Fuentedeprrafopredeter"/>
    <w:uiPriority w:val="20"/>
    <w:qFormat/>
    <w:rPr>
      <w:i/>
      <w:iCs/>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BVI fnr Char,Appel note de bas de p.,footnote reference"/>
    <w:basedOn w:val="Normal"/>
    <w:link w:val="Refdenotaalpie"/>
    <w:uiPriority w:val="99"/>
    <w:pPr>
      <w:spacing w:line="240" w:lineRule="exact"/>
    </w:pPr>
    <w:rPr>
      <w:vertAlign w:val="superscript"/>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Briefingtext">
    <w:name w:val="Briefing text"/>
    <w:basedOn w:val="Normal"/>
    <w:link w:val="BriefingtextChar"/>
    <w:autoRedefine/>
    <w:qFormat/>
    <w:pPr>
      <w:widowControl w:val="0"/>
      <w:spacing w:after="240" w:line="240" w:lineRule="auto"/>
      <w:jc w:val="both"/>
    </w:pPr>
    <w:rPr>
      <w:rFonts w:ascii="Times New Roman" w:eastAsia="Calibri" w:hAnsi="Times New Roman" w:cs="Arial"/>
      <w:color w:val="000000" w:themeColor="text1"/>
      <w:sz w:val="24"/>
    </w:rPr>
  </w:style>
  <w:style w:type="character" w:customStyle="1" w:styleId="BriefingtextChar">
    <w:name w:val="Briefing text Char"/>
    <w:link w:val="Briefingtext"/>
    <w:rPr>
      <w:rFonts w:ascii="Times New Roman" w:eastAsia="Calibri" w:hAnsi="Times New Roman" w:cs="Arial"/>
      <w:color w:val="000000" w:themeColor="text1"/>
      <w:sz w:val="24"/>
      <w:lang w:val="es-E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line="240" w:lineRule="exact"/>
      <w:jc w:val="both"/>
    </w:pPr>
    <w:rPr>
      <w:rFonts w:ascii="Times New Roman" w:eastAsia="Times New Roman" w:hAnsi="Times New Roman" w:cs="Times New Roman"/>
      <w:sz w:val="20"/>
      <w:szCs w:val="20"/>
      <w:vertAlign w:val="superscript"/>
      <w:lang w:eastAsia="en-GB"/>
    </w:rPr>
  </w:style>
  <w:style w:type="character" w:customStyle="1" w:styleId="normaltextrun">
    <w:name w:val="normaltextrun"/>
    <w:basedOn w:val="Fuentedeprrafopredete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highlight">
    <w:name w:val="highlight"/>
    <w:basedOn w:val="Fuentedeprrafopredeter"/>
  </w:style>
  <w:style w:type="paragraph" w:styleId="Sinespaciado">
    <w:name w:val="No Spacing"/>
    <w:uiPriority w:val="1"/>
    <w:qFormat/>
    <w:pPr>
      <w:spacing w:after="0" w:line="240" w:lineRule="auto"/>
    </w:pPr>
  </w:style>
  <w:style w:type="character" w:customStyle="1" w:styleId="Marker">
    <w:name w:val="Marker"/>
    <w:basedOn w:val="Fuentedeprrafopredet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Fuentedeprrafopredeter"/>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Fuentedeprrafopredete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Fuentedeprrafopredete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Fuentedeprrafopredete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Fuentedeprrafopredeter"/>
    <w:link w:val="HeaderSensitivityRight"/>
    <w:rPr>
      <w:rFonts w:ascii="Times New Roman" w:hAnsi="Times New Roman" w:cs="Times New Roman"/>
      <w:sz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RegisteredLetter">
    <w:name w:val="Registered Letter"/>
    <w:basedOn w:val="Normal"/>
    <w:pPr>
      <w:spacing w:after="240" w:line="240" w:lineRule="auto"/>
      <w:jc w:val="both"/>
    </w:pPr>
    <w:rPr>
      <w:rFonts w:ascii="Times New Roman" w:eastAsia="Times New Roman" w:hAnsi="Times New Roman" w:cs="Times New Roman"/>
      <w:sz w:val="24"/>
      <w:szCs w:val="20"/>
      <w:u w:val="single"/>
      <w:lang w:eastAsia="fr-BE"/>
    </w:rPr>
  </w:style>
  <w:style w:type="paragraph" w:customStyle="1" w:styleId="footnotedescription">
    <w:name w:val="footnote description"/>
    <w:next w:val="Normal"/>
    <w:link w:val="footnotedescriptionChar"/>
    <w:hidden/>
    <w:pPr>
      <w:spacing w:after="0" w:line="253"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175">
      <w:bodyDiv w:val="1"/>
      <w:marLeft w:val="0"/>
      <w:marRight w:val="0"/>
      <w:marTop w:val="0"/>
      <w:marBottom w:val="0"/>
      <w:divBdr>
        <w:top w:val="none" w:sz="0" w:space="0" w:color="auto"/>
        <w:left w:val="none" w:sz="0" w:space="0" w:color="auto"/>
        <w:bottom w:val="none" w:sz="0" w:space="0" w:color="auto"/>
        <w:right w:val="none" w:sz="0" w:space="0" w:color="auto"/>
      </w:divBdr>
    </w:div>
    <w:div w:id="14043964">
      <w:bodyDiv w:val="1"/>
      <w:marLeft w:val="0"/>
      <w:marRight w:val="0"/>
      <w:marTop w:val="0"/>
      <w:marBottom w:val="0"/>
      <w:divBdr>
        <w:top w:val="none" w:sz="0" w:space="0" w:color="auto"/>
        <w:left w:val="none" w:sz="0" w:space="0" w:color="auto"/>
        <w:bottom w:val="none" w:sz="0" w:space="0" w:color="auto"/>
        <w:right w:val="none" w:sz="0" w:space="0" w:color="auto"/>
      </w:divBdr>
    </w:div>
    <w:div w:id="20060978">
      <w:bodyDiv w:val="1"/>
      <w:marLeft w:val="0"/>
      <w:marRight w:val="0"/>
      <w:marTop w:val="0"/>
      <w:marBottom w:val="0"/>
      <w:divBdr>
        <w:top w:val="none" w:sz="0" w:space="0" w:color="auto"/>
        <w:left w:val="none" w:sz="0" w:space="0" w:color="auto"/>
        <w:bottom w:val="none" w:sz="0" w:space="0" w:color="auto"/>
        <w:right w:val="none" w:sz="0" w:space="0" w:color="auto"/>
      </w:divBdr>
    </w:div>
    <w:div w:id="79837387">
      <w:bodyDiv w:val="1"/>
      <w:marLeft w:val="0"/>
      <w:marRight w:val="0"/>
      <w:marTop w:val="0"/>
      <w:marBottom w:val="0"/>
      <w:divBdr>
        <w:top w:val="none" w:sz="0" w:space="0" w:color="auto"/>
        <w:left w:val="none" w:sz="0" w:space="0" w:color="auto"/>
        <w:bottom w:val="none" w:sz="0" w:space="0" w:color="auto"/>
        <w:right w:val="none" w:sz="0" w:space="0" w:color="auto"/>
      </w:divBdr>
    </w:div>
    <w:div w:id="111100939">
      <w:bodyDiv w:val="1"/>
      <w:marLeft w:val="0"/>
      <w:marRight w:val="0"/>
      <w:marTop w:val="0"/>
      <w:marBottom w:val="0"/>
      <w:divBdr>
        <w:top w:val="none" w:sz="0" w:space="0" w:color="auto"/>
        <w:left w:val="none" w:sz="0" w:space="0" w:color="auto"/>
        <w:bottom w:val="none" w:sz="0" w:space="0" w:color="auto"/>
        <w:right w:val="none" w:sz="0" w:space="0" w:color="auto"/>
      </w:divBdr>
    </w:div>
    <w:div w:id="176165167">
      <w:bodyDiv w:val="1"/>
      <w:marLeft w:val="0"/>
      <w:marRight w:val="0"/>
      <w:marTop w:val="0"/>
      <w:marBottom w:val="0"/>
      <w:divBdr>
        <w:top w:val="none" w:sz="0" w:space="0" w:color="auto"/>
        <w:left w:val="none" w:sz="0" w:space="0" w:color="auto"/>
        <w:bottom w:val="none" w:sz="0" w:space="0" w:color="auto"/>
        <w:right w:val="none" w:sz="0" w:space="0" w:color="auto"/>
      </w:divBdr>
    </w:div>
    <w:div w:id="177668573">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88833230">
      <w:bodyDiv w:val="1"/>
      <w:marLeft w:val="0"/>
      <w:marRight w:val="0"/>
      <w:marTop w:val="0"/>
      <w:marBottom w:val="0"/>
      <w:divBdr>
        <w:top w:val="none" w:sz="0" w:space="0" w:color="auto"/>
        <w:left w:val="none" w:sz="0" w:space="0" w:color="auto"/>
        <w:bottom w:val="none" w:sz="0" w:space="0" w:color="auto"/>
        <w:right w:val="none" w:sz="0" w:space="0" w:color="auto"/>
      </w:divBdr>
    </w:div>
    <w:div w:id="214127961">
      <w:bodyDiv w:val="1"/>
      <w:marLeft w:val="0"/>
      <w:marRight w:val="0"/>
      <w:marTop w:val="0"/>
      <w:marBottom w:val="0"/>
      <w:divBdr>
        <w:top w:val="none" w:sz="0" w:space="0" w:color="auto"/>
        <w:left w:val="none" w:sz="0" w:space="0" w:color="auto"/>
        <w:bottom w:val="none" w:sz="0" w:space="0" w:color="auto"/>
        <w:right w:val="none" w:sz="0" w:space="0" w:color="auto"/>
      </w:divBdr>
    </w:div>
    <w:div w:id="222178149">
      <w:bodyDiv w:val="1"/>
      <w:marLeft w:val="0"/>
      <w:marRight w:val="0"/>
      <w:marTop w:val="0"/>
      <w:marBottom w:val="0"/>
      <w:divBdr>
        <w:top w:val="none" w:sz="0" w:space="0" w:color="auto"/>
        <w:left w:val="none" w:sz="0" w:space="0" w:color="auto"/>
        <w:bottom w:val="none" w:sz="0" w:space="0" w:color="auto"/>
        <w:right w:val="none" w:sz="0" w:space="0" w:color="auto"/>
      </w:divBdr>
    </w:div>
    <w:div w:id="226035512">
      <w:bodyDiv w:val="1"/>
      <w:marLeft w:val="0"/>
      <w:marRight w:val="0"/>
      <w:marTop w:val="0"/>
      <w:marBottom w:val="0"/>
      <w:divBdr>
        <w:top w:val="none" w:sz="0" w:space="0" w:color="auto"/>
        <w:left w:val="none" w:sz="0" w:space="0" w:color="auto"/>
        <w:bottom w:val="none" w:sz="0" w:space="0" w:color="auto"/>
        <w:right w:val="none" w:sz="0" w:space="0" w:color="auto"/>
      </w:divBdr>
    </w:div>
    <w:div w:id="241108544">
      <w:bodyDiv w:val="1"/>
      <w:marLeft w:val="0"/>
      <w:marRight w:val="0"/>
      <w:marTop w:val="0"/>
      <w:marBottom w:val="0"/>
      <w:divBdr>
        <w:top w:val="none" w:sz="0" w:space="0" w:color="auto"/>
        <w:left w:val="none" w:sz="0" w:space="0" w:color="auto"/>
        <w:bottom w:val="none" w:sz="0" w:space="0" w:color="auto"/>
        <w:right w:val="none" w:sz="0" w:space="0" w:color="auto"/>
      </w:divBdr>
    </w:div>
    <w:div w:id="246501930">
      <w:bodyDiv w:val="1"/>
      <w:marLeft w:val="0"/>
      <w:marRight w:val="0"/>
      <w:marTop w:val="0"/>
      <w:marBottom w:val="0"/>
      <w:divBdr>
        <w:top w:val="none" w:sz="0" w:space="0" w:color="auto"/>
        <w:left w:val="none" w:sz="0" w:space="0" w:color="auto"/>
        <w:bottom w:val="none" w:sz="0" w:space="0" w:color="auto"/>
        <w:right w:val="none" w:sz="0" w:space="0" w:color="auto"/>
      </w:divBdr>
      <w:divsChild>
        <w:div w:id="423578333">
          <w:marLeft w:val="0"/>
          <w:marRight w:val="0"/>
          <w:marTop w:val="0"/>
          <w:marBottom w:val="0"/>
          <w:divBdr>
            <w:top w:val="none" w:sz="0" w:space="0" w:color="auto"/>
            <w:left w:val="none" w:sz="0" w:space="0" w:color="auto"/>
            <w:bottom w:val="none" w:sz="0" w:space="0" w:color="auto"/>
            <w:right w:val="none" w:sz="0" w:space="0" w:color="auto"/>
          </w:divBdr>
          <w:divsChild>
            <w:div w:id="20909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228">
      <w:bodyDiv w:val="1"/>
      <w:marLeft w:val="0"/>
      <w:marRight w:val="0"/>
      <w:marTop w:val="0"/>
      <w:marBottom w:val="0"/>
      <w:divBdr>
        <w:top w:val="none" w:sz="0" w:space="0" w:color="auto"/>
        <w:left w:val="none" w:sz="0" w:space="0" w:color="auto"/>
        <w:bottom w:val="none" w:sz="0" w:space="0" w:color="auto"/>
        <w:right w:val="none" w:sz="0" w:space="0" w:color="auto"/>
      </w:divBdr>
    </w:div>
    <w:div w:id="310135813">
      <w:bodyDiv w:val="1"/>
      <w:marLeft w:val="0"/>
      <w:marRight w:val="0"/>
      <w:marTop w:val="0"/>
      <w:marBottom w:val="0"/>
      <w:divBdr>
        <w:top w:val="none" w:sz="0" w:space="0" w:color="auto"/>
        <w:left w:val="none" w:sz="0" w:space="0" w:color="auto"/>
        <w:bottom w:val="none" w:sz="0" w:space="0" w:color="auto"/>
        <w:right w:val="none" w:sz="0" w:space="0" w:color="auto"/>
      </w:divBdr>
    </w:div>
    <w:div w:id="329912371">
      <w:bodyDiv w:val="1"/>
      <w:marLeft w:val="0"/>
      <w:marRight w:val="0"/>
      <w:marTop w:val="0"/>
      <w:marBottom w:val="0"/>
      <w:divBdr>
        <w:top w:val="none" w:sz="0" w:space="0" w:color="auto"/>
        <w:left w:val="none" w:sz="0" w:space="0" w:color="auto"/>
        <w:bottom w:val="none" w:sz="0" w:space="0" w:color="auto"/>
        <w:right w:val="none" w:sz="0" w:space="0" w:color="auto"/>
      </w:divBdr>
    </w:div>
    <w:div w:id="368724101">
      <w:bodyDiv w:val="1"/>
      <w:marLeft w:val="0"/>
      <w:marRight w:val="0"/>
      <w:marTop w:val="0"/>
      <w:marBottom w:val="0"/>
      <w:divBdr>
        <w:top w:val="none" w:sz="0" w:space="0" w:color="auto"/>
        <w:left w:val="none" w:sz="0" w:space="0" w:color="auto"/>
        <w:bottom w:val="none" w:sz="0" w:space="0" w:color="auto"/>
        <w:right w:val="none" w:sz="0" w:space="0" w:color="auto"/>
      </w:divBdr>
    </w:div>
    <w:div w:id="371000072">
      <w:bodyDiv w:val="1"/>
      <w:marLeft w:val="0"/>
      <w:marRight w:val="0"/>
      <w:marTop w:val="0"/>
      <w:marBottom w:val="0"/>
      <w:divBdr>
        <w:top w:val="none" w:sz="0" w:space="0" w:color="auto"/>
        <w:left w:val="none" w:sz="0" w:space="0" w:color="auto"/>
        <w:bottom w:val="none" w:sz="0" w:space="0" w:color="auto"/>
        <w:right w:val="none" w:sz="0" w:space="0" w:color="auto"/>
      </w:divBdr>
    </w:div>
    <w:div w:id="430125423">
      <w:bodyDiv w:val="1"/>
      <w:marLeft w:val="0"/>
      <w:marRight w:val="0"/>
      <w:marTop w:val="0"/>
      <w:marBottom w:val="0"/>
      <w:divBdr>
        <w:top w:val="none" w:sz="0" w:space="0" w:color="auto"/>
        <w:left w:val="none" w:sz="0" w:space="0" w:color="auto"/>
        <w:bottom w:val="none" w:sz="0" w:space="0" w:color="auto"/>
        <w:right w:val="none" w:sz="0" w:space="0" w:color="auto"/>
      </w:divBdr>
    </w:div>
    <w:div w:id="449202536">
      <w:bodyDiv w:val="1"/>
      <w:marLeft w:val="0"/>
      <w:marRight w:val="0"/>
      <w:marTop w:val="0"/>
      <w:marBottom w:val="0"/>
      <w:divBdr>
        <w:top w:val="none" w:sz="0" w:space="0" w:color="auto"/>
        <w:left w:val="none" w:sz="0" w:space="0" w:color="auto"/>
        <w:bottom w:val="none" w:sz="0" w:space="0" w:color="auto"/>
        <w:right w:val="none" w:sz="0" w:space="0" w:color="auto"/>
      </w:divBdr>
    </w:div>
    <w:div w:id="465200454">
      <w:bodyDiv w:val="1"/>
      <w:marLeft w:val="0"/>
      <w:marRight w:val="0"/>
      <w:marTop w:val="0"/>
      <w:marBottom w:val="0"/>
      <w:divBdr>
        <w:top w:val="none" w:sz="0" w:space="0" w:color="auto"/>
        <w:left w:val="none" w:sz="0" w:space="0" w:color="auto"/>
        <w:bottom w:val="none" w:sz="0" w:space="0" w:color="auto"/>
        <w:right w:val="none" w:sz="0" w:space="0" w:color="auto"/>
      </w:divBdr>
    </w:div>
    <w:div w:id="472527854">
      <w:bodyDiv w:val="1"/>
      <w:marLeft w:val="0"/>
      <w:marRight w:val="0"/>
      <w:marTop w:val="0"/>
      <w:marBottom w:val="0"/>
      <w:divBdr>
        <w:top w:val="none" w:sz="0" w:space="0" w:color="auto"/>
        <w:left w:val="none" w:sz="0" w:space="0" w:color="auto"/>
        <w:bottom w:val="none" w:sz="0" w:space="0" w:color="auto"/>
        <w:right w:val="none" w:sz="0" w:space="0" w:color="auto"/>
      </w:divBdr>
    </w:div>
    <w:div w:id="524371681">
      <w:bodyDiv w:val="1"/>
      <w:marLeft w:val="0"/>
      <w:marRight w:val="0"/>
      <w:marTop w:val="0"/>
      <w:marBottom w:val="0"/>
      <w:divBdr>
        <w:top w:val="none" w:sz="0" w:space="0" w:color="auto"/>
        <w:left w:val="none" w:sz="0" w:space="0" w:color="auto"/>
        <w:bottom w:val="none" w:sz="0" w:space="0" w:color="auto"/>
        <w:right w:val="none" w:sz="0" w:space="0" w:color="auto"/>
      </w:divBdr>
    </w:div>
    <w:div w:id="565142938">
      <w:bodyDiv w:val="1"/>
      <w:marLeft w:val="0"/>
      <w:marRight w:val="0"/>
      <w:marTop w:val="0"/>
      <w:marBottom w:val="0"/>
      <w:divBdr>
        <w:top w:val="none" w:sz="0" w:space="0" w:color="auto"/>
        <w:left w:val="none" w:sz="0" w:space="0" w:color="auto"/>
        <w:bottom w:val="none" w:sz="0" w:space="0" w:color="auto"/>
        <w:right w:val="none" w:sz="0" w:space="0" w:color="auto"/>
      </w:divBdr>
    </w:div>
    <w:div w:id="580679308">
      <w:bodyDiv w:val="1"/>
      <w:marLeft w:val="0"/>
      <w:marRight w:val="0"/>
      <w:marTop w:val="0"/>
      <w:marBottom w:val="0"/>
      <w:divBdr>
        <w:top w:val="none" w:sz="0" w:space="0" w:color="auto"/>
        <w:left w:val="none" w:sz="0" w:space="0" w:color="auto"/>
        <w:bottom w:val="none" w:sz="0" w:space="0" w:color="auto"/>
        <w:right w:val="none" w:sz="0" w:space="0" w:color="auto"/>
      </w:divBdr>
    </w:div>
    <w:div w:id="589892012">
      <w:bodyDiv w:val="1"/>
      <w:marLeft w:val="0"/>
      <w:marRight w:val="0"/>
      <w:marTop w:val="0"/>
      <w:marBottom w:val="0"/>
      <w:divBdr>
        <w:top w:val="none" w:sz="0" w:space="0" w:color="auto"/>
        <w:left w:val="none" w:sz="0" w:space="0" w:color="auto"/>
        <w:bottom w:val="none" w:sz="0" w:space="0" w:color="auto"/>
        <w:right w:val="none" w:sz="0" w:space="0" w:color="auto"/>
      </w:divBdr>
    </w:div>
    <w:div w:id="596132210">
      <w:bodyDiv w:val="1"/>
      <w:marLeft w:val="0"/>
      <w:marRight w:val="0"/>
      <w:marTop w:val="0"/>
      <w:marBottom w:val="0"/>
      <w:divBdr>
        <w:top w:val="none" w:sz="0" w:space="0" w:color="auto"/>
        <w:left w:val="none" w:sz="0" w:space="0" w:color="auto"/>
        <w:bottom w:val="none" w:sz="0" w:space="0" w:color="auto"/>
        <w:right w:val="none" w:sz="0" w:space="0" w:color="auto"/>
      </w:divBdr>
    </w:div>
    <w:div w:id="600379408">
      <w:bodyDiv w:val="1"/>
      <w:marLeft w:val="0"/>
      <w:marRight w:val="0"/>
      <w:marTop w:val="0"/>
      <w:marBottom w:val="0"/>
      <w:divBdr>
        <w:top w:val="none" w:sz="0" w:space="0" w:color="auto"/>
        <w:left w:val="none" w:sz="0" w:space="0" w:color="auto"/>
        <w:bottom w:val="none" w:sz="0" w:space="0" w:color="auto"/>
        <w:right w:val="none" w:sz="0" w:space="0" w:color="auto"/>
      </w:divBdr>
    </w:div>
    <w:div w:id="600449630">
      <w:bodyDiv w:val="1"/>
      <w:marLeft w:val="0"/>
      <w:marRight w:val="0"/>
      <w:marTop w:val="0"/>
      <w:marBottom w:val="0"/>
      <w:divBdr>
        <w:top w:val="none" w:sz="0" w:space="0" w:color="auto"/>
        <w:left w:val="none" w:sz="0" w:space="0" w:color="auto"/>
        <w:bottom w:val="none" w:sz="0" w:space="0" w:color="auto"/>
        <w:right w:val="none" w:sz="0" w:space="0" w:color="auto"/>
      </w:divBdr>
    </w:div>
    <w:div w:id="628173899">
      <w:bodyDiv w:val="1"/>
      <w:marLeft w:val="0"/>
      <w:marRight w:val="0"/>
      <w:marTop w:val="0"/>
      <w:marBottom w:val="0"/>
      <w:divBdr>
        <w:top w:val="none" w:sz="0" w:space="0" w:color="auto"/>
        <w:left w:val="none" w:sz="0" w:space="0" w:color="auto"/>
        <w:bottom w:val="none" w:sz="0" w:space="0" w:color="auto"/>
        <w:right w:val="none" w:sz="0" w:space="0" w:color="auto"/>
      </w:divBdr>
    </w:div>
    <w:div w:id="663780522">
      <w:bodyDiv w:val="1"/>
      <w:marLeft w:val="0"/>
      <w:marRight w:val="0"/>
      <w:marTop w:val="0"/>
      <w:marBottom w:val="0"/>
      <w:divBdr>
        <w:top w:val="none" w:sz="0" w:space="0" w:color="auto"/>
        <w:left w:val="none" w:sz="0" w:space="0" w:color="auto"/>
        <w:bottom w:val="none" w:sz="0" w:space="0" w:color="auto"/>
        <w:right w:val="none" w:sz="0" w:space="0" w:color="auto"/>
      </w:divBdr>
    </w:div>
    <w:div w:id="669412221">
      <w:bodyDiv w:val="1"/>
      <w:marLeft w:val="0"/>
      <w:marRight w:val="0"/>
      <w:marTop w:val="0"/>
      <w:marBottom w:val="0"/>
      <w:divBdr>
        <w:top w:val="none" w:sz="0" w:space="0" w:color="auto"/>
        <w:left w:val="none" w:sz="0" w:space="0" w:color="auto"/>
        <w:bottom w:val="none" w:sz="0" w:space="0" w:color="auto"/>
        <w:right w:val="none" w:sz="0" w:space="0" w:color="auto"/>
      </w:divBdr>
    </w:div>
    <w:div w:id="737820995">
      <w:bodyDiv w:val="1"/>
      <w:marLeft w:val="0"/>
      <w:marRight w:val="0"/>
      <w:marTop w:val="0"/>
      <w:marBottom w:val="0"/>
      <w:divBdr>
        <w:top w:val="none" w:sz="0" w:space="0" w:color="auto"/>
        <w:left w:val="none" w:sz="0" w:space="0" w:color="auto"/>
        <w:bottom w:val="none" w:sz="0" w:space="0" w:color="auto"/>
        <w:right w:val="none" w:sz="0" w:space="0" w:color="auto"/>
      </w:divBdr>
    </w:div>
    <w:div w:id="746657072">
      <w:bodyDiv w:val="1"/>
      <w:marLeft w:val="0"/>
      <w:marRight w:val="0"/>
      <w:marTop w:val="0"/>
      <w:marBottom w:val="0"/>
      <w:divBdr>
        <w:top w:val="none" w:sz="0" w:space="0" w:color="auto"/>
        <w:left w:val="none" w:sz="0" w:space="0" w:color="auto"/>
        <w:bottom w:val="none" w:sz="0" w:space="0" w:color="auto"/>
        <w:right w:val="none" w:sz="0" w:space="0" w:color="auto"/>
      </w:divBdr>
    </w:div>
    <w:div w:id="772869449">
      <w:bodyDiv w:val="1"/>
      <w:marLeft w:val="0"/>
      <w:marRight w:val="0"/>
      <w:marTop w:val="0"/>
      <w:marBottom w:val="0"/>
      <w:divBdr>
        <w:top w:val="none" w:sz="0" w:space="0" w:color="auto"/>
        <w:left w:val="none" w:sz="0" w:space="0" w:color="auto"/>
        <w:bottom w:val="none" w:sz="0" w:space="0" w:color="auto"/>
        <w:right w:val="none" w:sz="0" w:space="0" w:color="auto"/>
      </w:divBdr>
    </w:div>
    <w:div w:id="791483463">
      <w:bodyDiv w:val="1"/>
      <w:marLeft w:val="0"/>
      <w:marRight w:val="0"/>
      <w:marTop w:val="0"/>
      <w:marBottom w:val="0"/>
      <w:divBdr>
        <w:top w:val="none" w:sz="0" w:space="0" w:color="auto"/>
        <w:left w:val="none" w:sz="0" w:space="0" w:color="auto"/>
        <w:bottom w:val="none" w:sz="0" w:space="0" w:color="auto"/>
        <w:right w:val="none" w:sz="0" w:space="0" w:color="auto"/>
      </w:divBdr>
    </w:div>
    <w:div w:id="801464864">
      <w:bodyDiv w:val="1"/>
      <w:marLeft w:val="0"/>
      <w:marRight w:val="0"/>
      <w:marTop w:val="0"/>
      <w:marBottom w:val="0"/>
      <w:divBdr>
        <w:top w:val="none" w:sz="0" w:space="0" w:color="auto"/>
        <w:left w:val="none" w:sz="0" w:space="0" w:color="auto"/>
        <w:bottom w:val="none" w:sz="0" w:space="0" w:color="auto"/>
        <w:right w:val="none" w:sz="0" w:space="0" w:color="auto"/>
      </w:divBdr>
    </w:div>
    <w:div w:id="808016263">
      <w:bodyDiv w:val="1"/>
      <w:marLeft w:val="0"/>
      <w:marRight w:val="0"/>
      <w:marTop w:val="0"/>
      <w:marBottom w:val="0"/>
      <w:divBdr>
        <w:top w:val="none" w:sz="0" w:space="0" w:color="auto"/>
        <w:left w:val="none" w:sz="0" w:space="0" w:color="auto"/>
        <w:bottom w:val="none" w:sz="0" w:space="0" w:color="auto"/>
        <w:right w:val="none" w:sz="0" w:space="0" w:color="auto"/>
      </w:divBdr>
    </w:div>
    <w:div w:id="816654063">
      <w:bodyDiv w:val="1"/>
      <w:marLeft w:val="0"/>
      <w:marRight w:val="0"/>
      <w:marTop w:val="0"/>
      <w:marBottom w:val="0"/>
      <w:divBdr>
        <w:top w:val="none" w:sz="0" w:space="0" w:color="auto"/>
        <w:left w:val="none" w:sz="0" w:space="0" w:color="auto"/>
        <w:bottom w:val="none" w:sz="0" w:space="0" w:color="auto"/>
        <w:right w:val="none" w:sz="0" w:space="0" w:color="auto"/>
      </w:divBdr>
    </w:div>
    <w:div w:id="872960813">
      <w:bodyDiv w:val="1"/>
      <w:marLeft w:val="0"/>
      <w:marRight w:val="0"/>
      <w:marTop w:val="0"/>
      <w:marBottom w:val="0"/>
      <w:divBdr>
        <w:top w:val="none" w:sz="0" w:space="0" w:color="auto"/>
        <w:left w:val="none" w:sz="0" w:space="0" w:color="auto"/>
        <w:bottom w:val="none" w:sz="0" w:space="0" w:color="auto"/>
        <w:right w:val="none" w:sz="0" w:space="0" w:color="auto"/>
      </w:divBdr>
    </w:div>
    <w:div w:id="918517416">
      <w:bodyDiv w:val="1"/>
      <w:marLeft w:val="0"/>
      <w:marRight w:val="0"/>
      <w:marTop w:val="0"/>
      <w:marBottom w:val="0"/>
      <w:divBdr>
        <w:top w:val="none" w:sz="0" w:space="0" w:color="auto"/>
        <w:left w:val="none" w:sz="0" w:space="0" w:color="auto"/>
        <w:bottom w:val="none" w:sz="0" w:space="0" w:color="auto"/>
        <w:right w:val="none" w:sz="0" w:space="0" w:color="auto"/>
      </w:divBdr>
    </w:div>
    <w:div w:id="920916208">
      <w:bodyDiv w:val="1"/>
      <w:marLeft w:val="0"/>
      <w:marRight w:val="0"/>
      <w:marTop w:val="0"/>
      <w:marBottom w:val="0"/>
      <w:divBdr>
        <w:top w:val="none" w:sz="0" w:space="0" w:color="auto"/>
        <w:left w:val="none" w:sz="0" w:space="0" w:color="auto"/>
        <w:bottom w:val="none" w:sz="0" w:space="0" w:color="auto"/>
        <w:right w:val="none" w:sz="0" w:space="0" w:color="auto"/>
      </w:divBdr>
    </w:div>
    <w:div w:id="944772200">
      <w:bodyDiv w:val="1"/>
      <w:marLeft w:val="0"/>
      <w:marRight w:val="0"/>
      <w:marTop w:val="0"/>
      <w:marBottom w:val="0"/>
      <w:divBdr>
        <w:top w:val="none" w:sz="0" w:space="0" w:color="auto"/>
        <w:left w:val="none" w:sz="0" w:space="0" w:color="auto"/>
        <w:bottom w:val="none" w:sz="0" w:space="0" w:color="auto"/>
        <w:right w:val="none" w:sz="0" w:space="0" w:color="auto"/>
      </w:divBdr>
    </w:div>
    <w:div w:id="971784831">
      <w:bodyDiv w:val="1"/>
      <w:marLeft w:val="0"/>
      <w:marRight w:val="0"/>
      <w:marTop w:val="0"/>
      <w:marBottom w:val="0"/>
      <w:divBdr>
        <w:top w:val="none" w:sz="0" w:space="0" w:color="auto"/>
        <w:left w:val="none" w:sz="0" w:space="0" w:color="auto"/>
        <w:bottom w:val="none" w:sz="0" w:space="0" w:color="auto"/>
        <w:right w:val="none" w:sz="0" w:space="0" w:color="auto"/>
      </w:divBdr>
    </w:div>
    <w:div w:id="997417575">
      <w:bodyDiv w:val="1"/>
      <w:marLeft w:val="0"/>
      <w:marRight w:val="0"/>
      <w:marTop w:val="0"/>
      <w:marBottom w:val="0"/>
      <w:divBdr>
        <w:top w:val="none" w:sz="0" w:space="0" w:color="auto"/>
        <w:left w:val="none" w:sz="0" w:space="0" w:color="auto"/>
        <w:bottom w:val="none" w:sz="0" w:space="0" w:color="auto"/>
        <w:right w:val="none" w:sz="0" w:space="0" w:color="auto"/>
      </w:divBdr>
    </w:div>
    <w:div w:id="1032533416">
      <w:bodyDiv w:val="1"/>
      <w:marLeft w:val="0"/>
      <w:marRight w:val="0"/>
      <w:marTop w:val="0"/>
      <w:marBottom w:val="0"/>
      <w:divBdr>
        <w:top w:val="none" w:sz="0" w:space="0" w:color="auto"/>
        <w:left w:val="none" w:sz="0" w:space="0" w:color="auto"/>
        <w:bottom w:val="none" w:sz="0" w:space="0" w:color="auto"/>
        <w:right w:val="none" w:sz="0" w:space="0" w:color="auto"/>
      </w:divBdr>
    </w:div>
    <w:div w:id="1103064309">
      <w:bodyDiv w:val="1"/>
      <w:marLeft w:val="0"/>
      <w:marRight w:val="0"/>
      <w:marTop w:val="0"/>
      <w:marBottom w:val="0"/>
      <w:divBdr>
        <w:top w:val="none" w:sz="0" w:space="0" w:color="auto"/>
        <w:left w:val="none" w:sz="0" w:space="0" w:color="auto"/>
        <w:bottom w:val="none" w:sz="0" w:space="0" w:color="auto"/>
        <w:right w:val="none" w:sz="0" w:space="0" w:color="auto"/>
      </w:divBdr>
    </w:div>
    <w:div w:id="1146239296">
      <w:bodyDiv w:val="1"/>
      <w:marLeft w:val="0"/>
      <w:marRight w:val="0"/>
      <w:marTop w:val="0"/>
      <w:marBottom w:val="0"/>
      <w:divBdr>
        <w:top w:val="none" w:sz="0" w:space="0" w:color="auto"/>
        <w:left w:val="none" w:sz="0" w:space="0" w:color="auto"/>
        <w:bottom w:val="none" w:sz="0" w:space="0" w:color="auto"/>
        <w:right w:val="none" w:sz="0" w:space="0" w:color="auto"/>
      </w:divBdr>
    </w:div>
    <w:div w:id="1146700955">
      <w:bodyDiv w:val="1"/>
      <w:marLeft w:val="0"/>
      <w:marRight w:val="0"/>
      <w:marTop w:val="0"/>
      <w:marBottom w:val="0"/>
      <w:divBdr>
        <w:top w:val="none" w:sz="0" w:space="0" w:color="auto"/>
        <w:left w:val="none" w:sz="0" w:space="0" w:color="auto"/>
        <w:bottom w:val="none" w:sz="0" w:space="0" w:color="auto"/>
        <w:right w:val="none" w:sz="0" w:space="0" w:color="auto"/>
      </w:divBdr>
    </w:div>
    <w:div w:id="1169061620">
      <w:bodyDiv w:val="1"/>
      <w:marLeft w:val="0"/>
      <w:marRight w:val="0"/>
      <w:marTop w:val="0"/>
      <w:marBottom w:val="0"/>
      <w:divBdr>
        <w:top w:val="none" w:sz="0" w:space="0" w:color="auto"/>
        <w:left w:val="none" w:sz="0" w:space="0" w:color="auto"/>
        <w:bottom w:val="none" w:sz="0" w:space="0" w:color="auto"/>
        <w:right w:val="none" w:sz="0" w:space="0" w:color="auto"/>
      </w:divBdr>
    </w:div>
    <w:div w:id="1174303802">
      <w:bodyDiv w:val="1"/>
      <w:marLeft w:val="0"/>
      <w:marRight w:val="0"/>
      <w:marTop w:val="0"/>
      <w:marBottom w:val="0"/>
      <w:divBdr>
        <w:top w:val="none" w:sz="0" w:space="0" w:color="auto"/>
        <w:left w:val="none" w:sz="0" w:space="0" w:color="auto"/>
        <w:bottom w:val="none" w:sz="0" w:space="0" w:color="auto"/>
        <w:right w:val="none" w:sz="0" w:space="0" w:color="auto"/>
      </w:divBdr>
    </w:div>
    <w:div w:id="1209687486">
      <w:bodyDiv w:val="1"/>
      <w:marLeft w:val="0"/>
      <w:marRight w:val="0"/>
      <w:marTop w:val="0"/>
      <w:marBottom w:val="0"/>
      <w:divBdr>
        <w:top w:val="none" w:sz="0" w:space="0" w:color="auto"/>
        <w:left w:val="none" w:sz="0" w:space="0" w:color="auto"/>
        <w:bottom w:val="none" w:sz="0" w:space="0" w:color="auto"/>
        <w:right w:val="none" w:sz="0" w:space="0" w:color="auto"/>
      </w:divBdr>
    </w:div>
    <w:div w:id="1217355577">
      <w:bodyDiv w:val="1"/>
      <w:marLeft w:val="0"/>
      <w:marRight w:val="0"/>
      <w:marTop w:val="0"/>
      <w:marBottom w:val="0"/>
      <w:divBdr>
        <w:top w:val="none" w:sz="0" w:space="0" w:color="auto"/>
        <w:left w:val="none" w:sz="0" w:space="0" w:color="auto"/>
        <w:bottom w:val="none" w:sz="0" w:space="0" w:color="auto"/>
        <w:right w:val="none" w:sz="0" w:space="0" w:color="auto"/>
      </w:divBdr>
    </w:div>
    <w:div w:id="1218933480">
      <w:bodyDiv w:val="1"/>
      <w:marLeft w:val="0"/>
      <w:marRight w:val="0"/>
      <w:marTop w:val="0"/>
      <w:marBottom w:val="0"/>
      <w:divBdr>
        <w:top w:val="none" w:sz="0" w:space="0" w:color="auto"/>
        <w:left w:val="none" w:sz="0" w:space="0" w:color="auto"/>
        <w:bottom w:val="none" w:sz="0" w:space="0" w:color="auto"/>
        <w:right w:val="none" w:sz="0" w:space="0" w:color="auto"/>
      </w:divBdr>
    </w:div>
    <w:div w:id="1237784861">
      <w:bodyDiv w:val="1"/>
      <w:marLeft w:val="0"/>
      <w:marRight w:val="0"/>
      <w:marTop w:val="0"/>
      <w:marBottom w:val="0"/>
      <w:divBdr>
        <w:top w:val="none" w:sz="0" w:space="0" w:color="auto"/>
        <w:left w:val="none" w:sz="0" w:space="0" w:color="auto"/>
        <w:bottom w:val="none" w:sz="0" w:space="0" w:color="auto"/>
        <w:right w:val="none" w:sz="0" w:space="0" w:color="auto"/>
      </w:divBdr>
    </w:div>
    <w:div w:id="1308363781">
      <w:bodyDiv w:val="1"/>
      <w:marLeft w:val="0"/>
      <w:marRight w:val="0"/>
      <w:marTop w:val="0"/>
      <w:marBottom w:val="0"/>
      <w:divBdr>
        <w:top w:val="none" w:sz="0" w:space="0" w:color="auto"/>
        <w:left w:val="none" w:sz="0" w:space="0" w:color="auto"/>
        <w:bottom w:val="none" w:sz="0" w:space="0" w:color="auto"/>
        <w:right w:val="none" w:sz="0" w:space="0" w:color="auto"/>
      </w:divBdr>
    </w:div>
    <w:div w:id="1392265363">
      <w:bodyDiv w:val="1"/>
      <w:marLeft w:val="0"/>
      <w:marRight w:val="0"/>
      <w:marTop w:val="0"/>
      <w:marBottom w:val="0"/>
      <w:divBdr>
        <w:top w:val="none" w:sz="0" w:space="0" w:color="auto"/>
        <w:left w:val="none" w:sz="0" w:space="0" w:color="auto"/>
        <w:bottom w:val="none" w:sz="0" w:space="0" w:color="auto"/>
        <w:right w:val="none" w:sz="0" w:space="0" w:color="auto"/>
      </w:divBdr>
    </w:div>
    <w:div w:id="1402369376">
      <w:bodyDiv w:val="1"/>
      <w:marLeft w:val="0"/>
      <w:marRight w:val="0"/>
      <w:marTop w:val="0"/>
      <w:marBottom w:val="0"/>
      <w:divBdr>
        <w:top w:val="none" w:sz="0" w:space="0" w:color="auto"/>
        <w:left w:val="none" w:sz="0" w:space="0" w:color="auto"/>
        <w:bottom w:val="none" w:sz="0" w:space="0" w:color="auto"/>
        <w:right w:val="none" w:sz="0" w:space="0" w:color="auto"/>
      </w:divBdr>
    </w:div>
    <w:div w:id="1402407506">
      <w:bodyDiv w:val="1"/>
      <w:marLeft w:val="0"/>
      <w:marRight w:val="0"/>
      <w:marTop w:val="0"/>
      <w:marBottom w:val="0"/>
      <w:divBdr>
        <w:top w:val="none" w:sz="0" w:space="0" w:color="auto"/>
        <w:left w:val="none" w:sz="0" w:space="0" w:color="auto"/>
        <w:bottom w:val="none" w:sz="0" w:space="0" w:color="auto"/>
        <w:right w:val="none" w:sz="0" w:space="0" w:color="auto"/>
      </w:divBdr>
    </w:div>
    <w:div w:id="1438255763">
      <w:bodyDiv w:val="1"/>
      <w:marLeft w:val="0"/>
      <w:marRight w:val="0"/>
      <w:marTop w:val="0"/>
      <w:marBottom w:val="0"/>
      <w:divBdr>
        <w:top w:val="none" w:sz="0" w:space="0" w:color="auto"/>
        <w:left w:val="none" w:sz="0" w:space="0" w:color="auto"/>
        <w:bottom w:val="none" w:sz="0" w:space="0" w:color="auto"/>
        <w:right w:val="none" w:sz="0" w:space="0" w:color="auto"/>
      </w:divBdr>
    </w:div>
    <w:div w:id="1489520719">
      <w:bodyDiv w:val="1"/>
      <w:marLeft w:val="0"/>
      <w:marRight w:val="0"/>
      <w:marTop w:val="0"/>
      <w:marBottom w:val="0"/>
      <w:divBdr>
        <w:top w:val="none" w:sz="0" w:space="0" w:color="auto"/>
        <w:left w:val="none" w:sz="0" w:space="0" w:color="auto"/>
        <w:bottom w:val="none" w:sz="0" w:space="0" w:color="auto"/>
        <w:right w:val="none" w:sz="0" w:space="0" w:color="auto"/>
      </w:divBdr>
    </w:div>
    <w:div w:id="1527909627">
      <w:bodyDiv w:val="1"/>
      <w:marLeft w:val="0"/>
      <w:marRight w:val="0"/>
      <w:marTop w:val="0"/>
      <w:marBottom w:val="0"/>
      <w:divBdr>
        <w:top w:val="none" w:sz="0" w:space="0" w:color="auto"/>
        <w:left w:val="none" w:sz="0" w:space="0" w:color="auto"/>
        <w:bottom w:val="none" w:sz="0" w:space="0" w:color="auto"/>
        <w:right w:val="none" w:sz="0" w:space="0" w:color="auto"/>
      </w:divBdr>
    </w:div>
    <w:div w:id="1530558591">
      <w:bodyDiv w:val="1"/>
      <w:marLeft w:val="0"/>
      <w:marRight w:val="0"/>
      <w:marTop w:val="0"/>
      <w:marBottom w:val="0"/>
      <w:divBdr>
        <w:top w:val="none" w:sz="0" w:space="0" w:color="auto"/>
        <w:left w:val="none" w:sz="0" w:space="0" w:color="auto"/>
        <w:bottom w:val="none" w:sz="0" w:space="0" w:color="auto"/>
        <w:right w:val="none" w:sz="0" w:space="0" w:color="auto"/>
      </w:divBdr>
    </w:div>
    <w:div w:id="1551182996">
      <w:bodyDiv w:val="1"/>
      <w:marLeft w:val="0"/>
      <w:marRight w:val="0"/>
      <w:marTop w:val="0"/>
      <w:marBottom w:val="0"/>
      <w:divBdr>
        <w:top w:val="none" w:sz="0" w:space="0" w:color="auto"/>
        <w:left w:val="none" w:sz="0" w:space="0" w:color="auto"/>
        <w:bottom w:val="none" w:sz="0" w:space="0" w:color="auto"/>
        <w:right w:val="none" w:sz="0" w:space="0" w:color="auto"/>
      </w:divBdr>
    </w:div>
    <w:div w:id="1564561538">
      <w:bodyDiv w:val="1"/>
      <w:marLeft w:val="0"/>
      <w:marRight w:val="0"/>
      <w:marTop w:val="0"/>
      <w:marBottom w:val="0"/>
      <w:divBdr>
        <w:top w:val="none" w:sz="0" w:space="0" w:color="auto"/>
        <w:left w:val="none" w:sz="0" w:space="0" w:color="auto"/>
        <w:bottom w:val="none" w:sz="0" w:space="0" w:color="auto"/>
        <w:right w:val="none" w:sz="0" w:space="0" w:color="auto"/>
      </w:divBdr>
    </w:div>
    <w:div w:id="1586648737">
      <w:bodyDiv w:val="1"/>
      <w:marLeft w:val="0"/>
      <w:marRight w:val="0"/>
      <w:marTop w:val="0"/>
      <w:marBottom w:val="0"/>
      <w:divBdr>
        <w:top w:val="none" w:sz="0" w:space="0" w:color="auto"/>
        <w:left w:val="none" w:sz="0" w:space="0" w:color="auto"/>
        <w:bottom w:val="none" w:sz="0" w:space="0" w:color="auto"/>
        <w:right w:val="none" w:sz="0" w:space="0" w:color="auto"/>
      </w:divBdr>
    </w:div>
    <w:div w:id="1588005041">
      <w:bodyDiv w:val="1"/>
      <w:marLeft w:val="0"/>
      <w:marRight w:val="0"/>
      <w:marTop w:val="0"/>
      <w:marBottom w:val="0"/>
      <w:divBdr>
        <w:top w:val="none" w:sz="0" w:space="0" w:color="auto"/>
        <w:left w:val="none" w:sz="0" w:space="0" w:color="auto"/>
        <w:bottom w:val="none" w:sz="0" w:space="0" w:color="auto"/>
        <w:right w:val="none" w:sz="0" w:space="0" w:color="auto"/>
      </w:divBdr>
    </w:div>
    <w:div w:id="1617369941">
      <w:bodyDiv w:val="1"/>
      <w:marLeft w:val="0"/>
      <w:marRight w:val="0"/>
      <w:marTop w:val="0"/>
      <w:marBottom w:val="0"/>
      <w:divBdr>
        <w:top w:val="none" w:sz="0" w:space="0" w:color="auto"/>
        <w:left w:val="none" w:sz="0" w:space="0" w:color="auto"/>
        <w:bottom w:val="none" w:sz="0" w:space="0" w:color="auto"/>
        <w:right w:val="none" w:sz="0" w:space="0" w:color="auto"/>
      </w:divBdr>
    </w:div>
    <w:div w:id="1655717116">
      <w:bodyDiv w:val="1"/>
      <w:marLeft w:val="0"/>
      <w:marRight w:val="0"/>
      <w:marTop w:val="0"/>
      <w:marBottom w:val="0"/>
      <w:divBdr>
        <w:top w:val="none" w:sz="0" w:space="0" w:color="auto"/>
        <w:left w:val="none" w:sz="0" w:space="0" w:color="auto"/>
        <w:bottom w:val="none" w:sz="0" w:space="0" w:color="auto"/>
        <w:right w:val="none" w:sz="0" w:space="0" w:color="auto"/>
      </w:divBdr>
    </w:div>
    <w:div w:id="1661808601">
      <w:bodyDiv w:val="1"/>
      <w:marLeft w:val="0"/>
      <w:marRight w:val="0"/>
      <w:marTop w:val="0"/>
      <w:marBottom w:val="0"/>
      <w:divBdr>
        <w:top w:val="none" w:sz="0" w:space="0" w:color="auto"/>
        <w:left w:val="none" w:sz="0" w:space="0" w:color="auto"/>
        <w:bottom w:val="none" w:sz="0" w:space="0" w:color="auto"/>
        <w:right w:val="none" w:sz="0" w:space="0" w:color="auto"/>
      </w:divBdr>
    </w:div>
    <w:div w:id="1696732616">
      <w:bodyDiv w:val="1"/>
      <w:marLeft w:val="0"/>
      <w:marRight w:val="0"/>
      <w:marTop w:val="0"/>
      <w:marBottom w:val="0"/>
      <w:divBdr>
        <w:top w:val="none" w:sz="0" w:space="0" w:color="auto"/>
        <w:left w:val="none" w:sz="0" w:space="0" w:color="auto"/>
        <w:bottom w:val="none" w:sz="0" w:space="0" w:color="auto"/>
        <w:right w:val="none" w:sz="0" w:space="0" w:color="auto"/>
      </w:divBdr>
    </w:div>
    <w:div w:id="1707178584">
      <w:bodyDiv w:val="1"/>
      <w:marLeft w:val="0"/>
      <w:marRight w:val="0"/>
      <w:marTop w:val="0"/>
      <w:marBottom w:val="0"/>
      <w:divBdr>
        <w:top w:val="none" w:sz="0" w:space="0" w:color="auto"/>
        <w:left w:val="none" w:sz="0" w:space="0" w:color="auto"/>
        <w:bottom w:val="none" w:sz="0" w:space="0" w:color="auto"/>
        <w:right w:val="none" w:sz="0" w:space="0" w:color="auto"/>
      </w:divBdr>
    </w:div>
    <w:div w:id="1743336560">
      <w:bodyDiv w:val="1"/>
      <w:marLeft w:val="0"/>
      <w:marRight w:val="0"/>
      <w:marTop w:val="0"/>
      <w:marBottom w:val="0"/>
      <w:divBdr>
        <w:top w:val="none" w:sz="0" w:space="0" w:color="auto"/>
        <w:left w:val="none" w:sz="0" w:space="0" w:color="auto"/>
        <w:bottom w:val="none" w:sz="0" w:space="0" w:color="auto"/>
        <w:right w:val="none" w:sz="0" w:space="0" w:color="auto"/>
      </w:divBdr>
    </w:div>
    <w:div w:id="1760760543">
      <w:bodyDiv w:val="1"/>
      <w:marLeft w:val="0"/>
      <w:marRight w:val="0"/>
      <w:marTop w:val="0"/>
      <w:marBottom w:val="0"/>
      <w:divBdr>
        <w:top w:val="none" w:sz="0" w:space="0" w:color="auto"/>
        <w:left w:val="none" w:sz="0" w:space="0" w:color="auto"/>
        <w:bottom w:val="none" w:sz="0" w:space="0" w:color="auto"/>
        <w:right w:val="none" w:sz="0" w:space="0" w:color="auto"/>
      </w:divBdr>
    </w:div>
    <w:div w:id="1790969124">
      <w:bodyDiv w:val="1"/>
      <w:marLeft w:val="0"/>
      <w:marRight w:val="0"/>
      <w:marTop w:val="0"/>
      <w:marBottom w:val="0"/>
      <w:divBdr>
        <w:top w:val="none" w:sz="0" w:space="0" w:color="auto"/>
        <w:left w:val="none" w:sz="0" w:space="0" w:color="auto"/>
        <w:bottom w:val="none" w:sz="0" w:space="0" w:color="auto"/>
        <w:right w:val="none" w:sz="0" w:space="0" w:color="auto"/>
      </w:divBdr>
    </w:div>
    <w:div w:id="1828857629">
      <w:bodyDiv w:val="1"/>
      <w:marLeft w:val="0"/>
      <w:marRight w:val="0"/>
      <w:marTop w:val="0"/>
      <w:marBottom w:val="0"/>
      <w:divBdr>
        <w:top w:val="none" w:sz="0" w:space="0" w:color="auto"/>
        <w:left w:val="none" w:sz="0" w:space="0" w:color="auto"/>
        <w:bottom w:val="none" w:sz="0" w:space="0" w:color="auto"/>
        <w:right w:val="none" w:sz="0" w:space="0" w:color="auto"/>
      </w:divBdr>
    </w:div>
    <w:div w:id="1874264404">
      <w:bodyDiv w:val="1"/>
      <w:marLeft w:val="0"/>
      <w:marRight w:val="0"/>
      <w:marTop w:val="0"/>
      <w:marBottom w:val="0"/>
      <w:divBdr>
        <w:top w:val="none" w:sz="0" w:space="0" w:color="auto"/>
        <w:left w:val="none" w:sz="0" w:space="0" w:color="auto"/>
        <w:bottom w:val="none" w:sz="0" w:space="0" w:color="auto"/>
        <w:right w:val="none" w:sz="0" w:space="0" w:color="auto"/>
      </w:divBdr>
    </w:div>
    <w:div w:id="1897009803">
      <w:bodyDiv w:val="1"/>
      <w:marLeft w:val="0"/>
      <w:marRight w:val="0"/>
      <w:marTop w:val="0"/>
      <w:marBottom w:val="0"/>
      <w:divBdr>
        <w:top w:val="none" w:sz="0" w:space="0" w:color="auto"/>
        <w:left w:val="none" w:sz="0" w:space="0" w:color="auto"/>
        <w:bottom w:val="none" w:sz="0" w:space="0" w:color="auto"/>
        <w:right w:val="none" w:sz="0" w:space="0" w:color="auto"/>
      </w:divBdr>
    </w:div>
    <w:div w:id="1906798917">
      <w:bodyDiv w:val="1"/>
      <w:marLeft w:val="0"/>
      <w:marRight w:val="0"/>
      <w:marTop w:val="0"/>
      <w:marBottom w:val="0"/>
      <w:divBdr>
        <w:top w:val="none" w:sz="0" w:space="0" w:color="auto"/>
        <w:left w:val="none" w:sz="0" w:space="0" w:color="auto"/>
        <w:bottom w:val="none" w:sz="0" w:space="0" w:color="auto"/>
        <w:right w:val="none" w:sz="0" w:space="0" w:color="auto"/>
      </w:divBdr>
    </w:div>
    <w:div w:id="1947957706">
      <w:bodyDiv w:val="1"/>
      <w:marLeft w:val="0"/>
      <w:marRight w:val="0"/>
      <w:marTop w:val="0"/>
      <w:marBottom w:val="0"/>
      <w:divBdr>
        <w:top w:val="none" w:sz="0" w:space="0" w:color="auto"/>
        <w:left w:val="none" w:sz="0" w:space="0" w:color="auto"/>
        <w:bottom w:val="none" w:sz="0" w:space="0" w:color="auto"/>
        <w:right w:val="none" w:sz="0" w:space="0" w:color="auto"/>
      </w:divBdr>
    </w:div>
    <w:div w:id="1984385263">
      <w:bodyDiv w:val="1"/>
      <w:marLeft w:val="0"/>
      <w:marRight w:val="0"/>
      <w:marTop w:val="0"/>
      <w:marBottom w:val="0"/>
      <w:divBdr>
        <w:top w:val="none" w:sz="0" w:space="0" w:color="auto"/>
        <w:left w:val="none" w:sz="0" w:space="0" w:color="auto"/>
        <w:bottom w:val="none" w:sz="0" w:space="0" w:color="auto"/>
        <w:right w:val="none" w:sz="0" w:space="0" w:color="auto"/>
      </w:divBdr>
    </w:div>
    <w:div w:id="2022777516">
      <w:bodyDiv w:val="1"/>
      <w:marLeft w:val="0"/>
      <w:marRight w:val="0"/>
      <w:marTop w:val="0"/>
      <w:marBottom w:val="0"/>
      <w:divBdr>
        <w:top w:val="none" w:sz="0" w:space="0" w:color="auto"/>
        <w:left w:val="none" w:sz="0" w:space="0" w:color="auto"/>
        <w:bottom w:val="none" w:sz="0" w:space="0" w:color="auto"/>
        <w:right w:val="none" w:sz="0" w:space="0" w:color="auto"/>
      </w:divBdr>
    </w:div>
    <w:div w:id="2053070584">
      <w:bodyDiv w:val="1"/>
      <w:marLeft w:val="0"/>
      <w:marRight w:val="0"/>
      <w:marTop w:val="0"/>
      <w:marBottom w:val="0"/>
      <w:divBdr>
        <w:top w:val="none" w:sz="0" w:space="0" w:color="auto"/>
        <w:left w:val="none" w:sz="0" w:space="0" w:color="auto"/>
        <w:bottom w:val="none" w:sz="0" w:space="0" w:color="auto"/>
        <w:right w:val="none" w:sz="0" w:space="0" w:color="auto"/>
      </w:divBdr>
    </w:div>
    <w:div w:id="2055300855">
      <w:bodyDiv w:val="1"/>
      <w:marLeft w:val="0"/>
      <w:marRight w:val="0"/>
      <w:marTop w:val="0"/>
      <w:marBottom w:val="0"/>
      <w:divBdr>
        <w:top w:val="none" w:sz="0" w:space="0" w:color="auto"/>
        <w:left w:val="none" w:sz="0" w:space="0" w:color="auto"/>
        <w:bottom w:val="none" w:sz="0" w:space="0" w:color="auto"/>
        <w:right w:val="none" w:sz="0" w:space="0" w:color="auto"/>
      </w:divBdr>
    </w:div>
    <w:div w:id="2058895435">
      <w:bodyDiv w:val="1"/>
      <w:marLeft w:val="0"/>
      <w:marRight w:val="0"/>
      <w:marTop w:val="0"/>
      <w:marBottom w:val="0"/>
      <w:divBdr>
        <w:top w:val="none" w:sz="0" w:space="0" w:color="auto"/>
        <w:left w:val="none" w:sz="0" w:space="0" w:color="auto"/>
        <w:bottom w:val="none" w:sz="0" w:space="0" w:color="auto"/>
        <w:right w:val="none" w:sz="0" w:space="0" w:color="auto"/>
      </w:divBdr>
    </w:div>
    <w:div w:id="2067870347">
      <w:bodyDiv w:val="1"/>
      <w:marLeft w:val="0"/>
      <w:marRight w:val="0"/>
      <w:marTop w:val="0"/>
      <w:marBottom w:val="0"/>
      <w:divBdr>
        <w:top w:val="none" w:sz="0" w:space="0" w:color="auto"/>
        <w:left w:val="none" w:sz="0" w:space="0" w:color="auto"/>
        <w:bottom w:val="none" w:sz="0" w:space="0" w:color="auto"/>
        <w:right w:val="none" w:sz="0" w:space="0" w:color="auto"/>
      </w:divBdr>
    </w:div>
    <w:div w:id="2083941672">
      <w:bodyDiv w:val="1"/>
      <w:marLeft w:val="0"/>
      <w:marRight w:val="0"/>
      <w:marTop w:val="0"/>
      <w:marBottom w:val="0"/>
      <w:divBdr>
        <w:top w:val="none" w:sz="0" w:space="0" w:color="auto"/>
        <w:left w:val="none" w:sz="0" w:space="0" w:color="auto"/>
        <w:bottom w:val="none" w:sz="0" w:space="0" w:color="auto"/>
        <w:right w:val="none" w:sz="0" w:space="0" w:color="auto"/>
      </w:divBdr>
    </w:div>
    <w:div w:id="2090030550">
      <w:bodyDiv w:val="1"/>
      <w:marLeft w:val="0"/>
      <w:marRight w:val="0"/>
      <w:marTop w:val="0"/>
      <w:marBottom w:val="0"/>
      <w:divBdr>
        <w:top w:val="none" w:sz="0" w:space="0" w:color="auto"/>
        <w:left w:val="none" w:sz="0" w:space="0" w:color="auto"/>
        <w:bottom w:val="none" w:sz="0" w:space="0" w:color="auto"/>
        <w:right w:val="none" w:sz="0" w:space="0" w:color="auto"/>
      </w:divBdr>
    </w:div>
    <w:div w:id="2111387306">
      <w:bodyDiv w:val="1"/>
      <w:marLeft w:val="0"/>
      <w:marRight w:val="0"/>
      <w:marTop w:val="0"/>
      <w:marBottom w:val="0"/>
      <w:divBdr>
        <w:top w:val="none" w:sz="0" w:space="0" w:color="auto"/>
        <w:left w:val="none" w:sz="0" w:space="0" w:color="auto"/>
        <w:bottom w:val="none" w:sz="0" w:space="0" w:color="auto"/>
        <w:right w:val="none" w:sz="0" w:space="0" w:color="auto"/>
      </w:divBdr>
    </w:div>
    <w:div w:id="21311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knowledge4policy/foresight_es" TargetMode="External"/><Relationship Id="rId13" Type="http://schemas.openxmlformats.org/officeDocument/2006/relationships/hyperlink" Target="https://ec.europa.eu/info/files/factual-summary-report-public-consultation-new-consumer-agenda_es" TargetMode="External"/><Relationship Id="rId18" Type="http://schemas.openxmlformats.org/officeDocument/2006/relationships/hyperlink" Target="https://eur-lex.europa.eu/legal-content/ES/ALL/?uri=CELEX%3A32014R0910" TargetMode="External"/><Relationship Id="rId26" Type="http://schemas.openxmlformats.org/officeDocument/2006/relationships/hyperlink" Target="https://eur-lex.europa.eu/legal-content/ES/TXT/?uri=CELEX:32019L0882" TargetMode="External"/><Relationship Id="rId3" Type="http://schemas.openxmlformats.org/officeDocument/2006/relationships/hyperlink" Target="https://ec.europa.eu/info/strategy/priorities-2019-2024/european-green-deal_es" TargetMode="External"/><Relationship Id="rId21" Type="http://schemas.openxmlformats.org/officeDocument/2006/relationships/hyperlink" Target="https://ec.europa.eu/isa2/eif_es" TargetMode="External"/><Relationship Id="rId7" Type="http://schemas.openxmlformats.org/officeDocument/2006/relationships/hyperlink" Target="https://ec.europa.eu/info/sites/info/files/waste_management_guidance_dg-env.pdf" TargetMode="External"/><Relationship Id="rId12" Type="http://schemas.openxmlformats.org/officeDocument/2006/relationships/hyperlink" Target="https://ec.europa.eu/growth/sectors/electrical-engineering/red-directive/common-charger_es" TargetMode="External"/><Relationship Id="rId17" Type="http://schemas.openxmlformats.org/officeDocument/2006/relationships/hyperlink" Target="https://eur-lex.europa.eu/legal-content/ES/TXT/?qid=1581501217257&amp;uri=CELEX:32001L0095" TargetMode="External"/><Relationship Id="rId25" Type="http://schemas.openxmlformats.org/officeDocument/2006/relationships/hyperlink" Target="https://ec.europa.eu/social/main.jsp?catId=1482&amp;langId=es" TargetMode="External"/><Relationship Id="rId2" Type="http://schemas.openxmlformats.org/officeDocument/2006/relationships/hyperlink" Target="https://ec.europa.eu/eurostat/statistics-explained/index.php/Household_consumption_by_purpose" TargetMode="External"/><Relationship Id="rId16" Type="http://schemas.openxmlformats.org/officeDocument/2006/relationships/hyperlink" Target="https://ec.europa.eu/eurostat/statistics-explained/index.php?title=Digital_economy_and_society_statistics_-_households_and_individuals/es" TargetMode="External"/><Relationship Id="rId20" Type="http://schemas.openxmlformats.org/officeDocument/2006/relationships/hyperlink" Target="https://ec.europa.eu/info/live-work-travel-eu/consumers/enforcement-consumer-protection/sweeps_es" TargetMode="External"/><Relationship Id="rId29" Type="http://schemas.openxmlformats.org/officeDocument/2006/relationships/hyperlink" Target="https://ec.europa.eu/eurostat/statistics-explained/index.php/E%20commerce_statistics_for_individuals" TargetMode="External"/><Relationship Id="rId1" Type="http://schemas.openxmlformats.org/officeDocument/2006/relationships/hyperlink" Target="https://ec.europa.eu/info/law/law-topic/consumers/review-eu-consumer-law-new-deal-consumers_es" TargetMode="External"/><Relationship Id="rId6" Type="http://schemas.openxmlformats.org/officeDocument/2006/relationships/hyperlink" Target="https://ec.europa.eu/info/live-work-travel-eu/consumers/enforcement-consumer-protection/scams-related-covid-19_es" TargetMode="External"/><Relationship Id="rId11" Type="http://schemas.openxmlformats.org/officeDocument/2006/relationships/hyperlink" Target="https://eur-lex.europa.eu/legal-content/ES/TXT/?uri=CELEX:52020DC0067." TargetMode="External"/><Relationship Id="rId24" Type="http://schemas.openxmlformats.org/officeDocument/2006/relationships/hyperlink" Target="https://www.europarl.europa.eu/news/es/press-room/20200525IPR79717/eu-citizens-want-more-competences-for-the-eu-to-deal-with-crises-like-covid-19" TargetMode="External"/><Relationship Id="rId5" Type="http://schemas.openxmlformats.org/officeDocument/2006/relationships/hyperlink" Target="https://ec.europa.eu/info/law/better-regulation/have-your-say/initiatives/12464-A-New-Consumer-Agenda" TargetMode="External"/><Relationship Id="rId15" Type="http://schemas.openxmlformats.org/officeDocument/2006/relationships/hyperlink" Target="https://eur-lex.europa.eu/legal-content/ES/AUTO/?uri=celex:32013H0179" TargetMode="External"/><Relationship Id="rId23" Type="http://schemas.openxmlformats.org/officeDocument/2006/relationships/hyperlink" Target="https://www.bi.team/publications/the-behavioural-science-of-online-harm-and-manipulation-and-what-to-do-about-it/" TargetMode="External"/><Relationship Id="rId28" Type="http://schemas.openxmlformats.org/officeDocument/2006/relationships/hyperlink" Target="http://ec.europa.eu/consumers/consumer_evidence/market_studies/vulnerability/index_en.htm" TargetMode="External"/><Relationship Id="rId10" Type="http://schemas.openxmlformats.org/officeDocument/2006/relationships/hyperlink" Target="https://ec.europa.eu/info/law/better-regulation/have-your-say/initiatives/12567-Sustainable-Products-Initiative" TargetMode="External"/><Relationship Id="rId19" Type="http://schemas.openxmlformats.org/officeDocument/2006/relationships/hyperlink" Target="https://ec.europa.eu/info/publications/200924-digital-finance-proposals_en" TargetMode="External"/><Relationship Id="rId4" Type="http://schemas.openxmlformats.org/officeDocument/2006/relationships/hyperlink" Target="https://ec.europa.eu/info/publications/communication-shaping-europes-digital-future_es" TargetMode="External"/><Relationship Id="rId9" Type="http://schemas.openxmlformats.org/officeDocument/2006/relationships/hyperlink" Target="https://ec.europa.eu/info/live-work-travel-eu/consumers/sustainable-consumption_es" TargetMode="External"/><Relationship Id="rId14" Type="http://schemas.openxmlformats.org/officeDocument/2006/relationships/hyperlink" Target="https://eur-lex.europa.eu/legal-content/ES/TXT/?uri=celex:32020R0852" TargetMode="External"/><Relationship Id="rId22" Type="http://schemas.openxmlformats.org/officeDocument/2006/relationships/hyperlink" Target="https://ec.europa.eu/info/sites/info/files/business_economy_euro/banking_and_finance/documents/200714-best-practices-mitigate-impact-pandemic_en.pdf" TargetMode="External"/><Relationship Id="rId27" Type="http://schemas.openxmlformats.org/officeDocument/2006/relationships/hyperlink" Target="https://www.vzbv.de/pressemitteilung/verbraucher-staerken-im-quar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5E4C227C497E14E96B6482B2A9EBCB3" ma:contentTypeVersion="0" ma:contentTypeDescription="Create a new document in this library." ma:contentTypeScope="" ma:versionID="d09ee8987e78b76d352195be92b7c49a">
  <xsd:schema xmlns:xsd="http://www.w3.org/2001/XMLSchema" xmlns:xs="http://www.w3.org/2001/XMLSchema" xmlns:p="http://schemas.microsoft.com/office/2006/metadata/properties" xmlns:ns2="http://schemas.microsoft.com/sharepoint/v3/fields" xmlns:ns3="DF8243EC-BFF2-4588-B0EB-C10F86D37F2A" targetNamespace="http://schemas.microsoft.com/office/2006/metadata/properties" ma:root="true" ma:fieldsID="970dc4a14b355271bc338e92ce757500" ns2:_="" ns3:_="">
    <xsd:import namespace="http://schemas.microsoft.com/sharepoint/v3/fields"/>
    <xsd:import namespace="DF8243EC-BFF2-4588-B0EB-C10F86D37F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243EC-BFF2-4588-B0EB-C10F86D37F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DF8243EC-BFF2-4588-B0EB-C10F86D37F2A">EN</EC_Collab_DocumentLanguage>
    <_Status xmlns="http://schemas.microsoft.com/sharepoint/v3/fields">Not Started</_Status>
    <EC_Collab_Reference xmlns="DF8243EC-BFF2-4588-B0EB-C10F86D37F2A" xsi:nil="true"/>
    <EC_Collab_Status xmlns="DF8243EC-BFF2-4588-B0EB-C10F86D37F2A">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DF25-D2F1-462F-89FB-B5D55B63EBE8}">
  <ds:schemaRefs>
    <ds:schemaRef ds:uri="http://schemas.microsoft.com/sharepoint/v3/contenttype/forms"/>
  </ds:schemaRefs>
</ds:datastoreItem>
</file>

<file path=customXml/itemProps2.xml><?xml version="1.0" encoding="utf-8"?>
<ds:datastoreItem xmlns:ds="http://schemas.openxmlformats.org/officeDocument/2006/customXml" ds:itemID="{A5153E7D-B7BC-4867-8589-9F4BD2C10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F8243EC-BFF2-4588-B0EB-C10F86D37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248C4-8BEA-4C13-971C-0EABED61F149}">
  <ds:schemaRefs>
    <ds:schemaRef ds:uri="http://schemas.microsoft.com/office/2006/metadata/properties"/>
    <ds:schemaRef ds:uri="http://schemas.microsoft.com/office/infopath/2007/PartnerControls"/>
    <ds:schemaRef ds:uri="DF8243EC-BFF2-4588-B0EB-C10F86D37F2A"/>
    <ds:schemaRef ds:uri="http://schemas.microsoft.com/sharepoint/v3/fields"/>
  </ds:schemaRefs>
</ds:datastoreItem>
</file>

<file path=customXml/itemProps4.xml><?xml version="1.0" encoding="utf-8"?>
<ds:datastoreItem xmlns:ds="http://schemas.openxmlformats.org/officeDocument/2006/customXml" ds:itemID="{5589180E-EFD0-473B-A692-A75F7D79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10599</Words>
  <Characters>55011</Characters>
  <Application>Microsoft Office Word</Application>
  <DocSecurity>0</DocSecurity>
  <Lines>965</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skeleton agenda consumer</cp:keywords>
  <dc:description/>
  <cp:lastModifiedBy>Usuario de Microsoft Office</cp:lastModifiedBy>
  <cp:revision>2</cp:revision>
  <cp:lastPrinted>2020-11-06T10:54:00Z</cp:lastPrinted>
  <dcterms:created xsi:type="dcterms:W3CDTF">2020-12-01T19:57:00Z</dcterms:created>
  <dcterms:modified xsi:type="dcterms:W3CDTF">2020-12-01T19:57:00Z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Created using">
    <vt:lpwstr>LW 7.0, Build 20190717</vt:lpwstr>
  </property>
  <property fmtid="{D5CDD505-2E9C-101B-9397-08002B2CF9AE}" pid="8" name="Last edited using">
    <vt:lpwstr>LW 7.0.1, Build 20190916</vt:lpwstr>
  </property>
  <property fmtid="{D5CDD505-2E9C-101B-9397-08002B2CF9AE}" pid="9" name="_LW_INVALIDATED__LW_INVALIDATED__LW_INVALIDATED__LW_INVALIDATED__LW_INVALIDATED__LW_INVALIDATED__LW_INVALIDATED__LW_INVALIDATED_ContentTypeId">
    <vt:lpwstr>0x010100258AA79CEB83498886A3A0868112325000E5E4C227C497E14E96B6482B2A9EBCB3</vt:lpwstr>
  </property>
  <property fmtid="{D5CDD505-2E9C-101B-9397-08002B2CF9AE}" pid="10" name="_LW_INVALIDATED__LW_INVALIDATED__LW_INVALIDATED__LW_INVALIDATED__LW_INVALIDATED__LW_INVALIDATED__LW_INVALIDATED_ContentTypeId">
    <vt:lpwstr>0x010100258AA79CEB83498886A3A0868112325000E5E4C227C497E14E96B6482B2A9EBCB3</vt:lpwstr>
  </property>
  <property fmtid="{D5CDD505-2E9C-101B-9397-08002B2CF9AE}" pid="11" name="_LW_INVALIDATED__LW_INVALIDATED__LW_INVALIDATED__LW_INVALIDATED_ContentTypeId">
    <vt:lpwstr>0x010100258AA79CEB83498886A3A0868112325000E5E4C227C497E14E96B6482B2A9EBCB3</vt:lpwstr>
  </property>
</Properties>
</file>